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PAPP </w:t>
            </w:r>
          </w:p>
          <w:p w:rsidR="00C275A3" w:rsidRDefault="00A96AEC" w:rsidP="00C275A3">
            <w:pPr>
              <w:pStyle w:val="Hallgatokepzes"/>
            </w:pPr>
            <w:r>
              <w:t>Food science and technology engineer</w:t>
            </w:r>
            <w:r>
              <w:br/>
            </w:r>
            <w:r w:rsidR="00E77B23">
              <w:t>MSc, 4.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Krisch</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Food safety in the public awareness- survey among high school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knowledge of and attitude to food safety is important in the prevention of foodborne illnesses. We could learn it in micro,- and macro environment, for example at school. During my experiment we analysed primary school and high school students’ and teachers’ knowledge of and attitude to food safety throught tests. We examined if these are influenced by candidates’ sex, age, address and correspondence between theoretical and practical knowledge. Using statistical analysis we got the following results. Boys have better knowledge than girls, village-dwellers have better attitude than town-dwellers. Those who have appropriate knowledge use it in practice. The elderly have the most knowledge and the best attitude. Considering our results, in my opinion, we have to put more emphasis on the education and attaining of food safety.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18045">
    <w:multiLevelType w:val="hybridMultilevel"/>
    <w:lvl w:ilvl="0" w:tplc="10664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18045">
    <w:abstractNumId w:val="423180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411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