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KATA</w:t>
            </w:r>
          </w:p>
          <w:p w:rsidR="00C275A3" w:rsidRDefault="00A96AEC" w:rsidP="00C275A3">
            <w:pPr>
              <w:pStyle w:val="Hallgatokepzes"/>
            </w:pPr>
            <w:r>
              <w:t>gyógypedagógia</w:t>
            </w:r>
            <w:r>
              <w:br/>
            </w:r>
            <w:r w:rsidR="00E77B23">
              <w:t>BA, 8. félév</w:t>
            </w:r>
          </w:p>
          <w:p w:rsidR="00C265CE" w:rsidRPr="009E5FF1" w:rsidRDefault="00E77B23" w:rsidP="009763E0">
            <w:pPr>
              <w:pStyle w:val="Hallgatointezmeny-kar"/>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Gelencsérné Bakó Márta</w:t>
            </w:r>
          </w:p>
          <w:p w:rsidR="00DB4822" w:rsidRDefault="00DB4822" w:rsidP="009763E0">
            <w:pPr>
              <w:pStyle w:val="Konzulensektitulus"/>
            </w:pPr>
            <w:r w:rsidRPr="00DB4822">
              <w:t>tanársegéd,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lovaglás hatása a tanulási zavarral küzdő gyermek helyzetére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John Dewey, XX. századi filozófus hitvallása szerint az iskolában a nevelési célt a társadalom, az élet fogalmazza meg. A gyermekeket az életre kell felkészíteni úgy, hogy az intézményes nevelés keretei között egy leegyszerűsített társadalmi környezetben kell megtanulniuk a társadalmi cselekvésformákat. Ennek értelmében a tanulók számára az iskola jelenti magát az életet.</w:t>
      </w:r>
    </w:p>
    <w:p>
      <w:pPr>
        <w:widowControl w:val="on"/>
        <w:pBdr/>
        <w:spacing w:before="240" w:after="240" w:line="240" w:lineRule="auto"/>
        <w:ind w:left="0" w:right="0"/>
        <w:jc w:val="left"/>
      </w:pPr>
      <w:r>
        <w:rPr>
          <w:color w:val="000000"/>
          <w:sz w:val="24"/>
          <w:szCs w:val="24"/>
        </w:rPr>
        <w:t xml:space="preserve">Úgy tapasztalom, az intézmények inkább a tanulási képességekre fektetnek hangsúlyt, és kevésbé azokra a kompetenciaterületekre, amelyekre az életben, a társadalomban való helytállásra szükség van. Dewey elgondolása esetükben nem valósul meg teljes mértékben az intézményi keretek között, ezért a szülőktől, vagy egyéb alternatív lehetőségek keretein belül kell megtanulniuk a gyermekeknek ezeket a cselekvésformákat.</w:t>
      </w:r>
      <w:r>
        <w:rPr>
          <w:color w:val="000000"/>
          <w:sz w:val="24"/>
          <w:szCs w:val="24"/>
        </w:rPr>
        <w:br/>
        <w:t xml:space="preserve">A megküzdés a tanulási problémákkal, mágnesként vonz maga után más képességek, kompetenciaterületek negatív irányba történő változását. Kutatásomban olyan alternatív, elfogadó környezet és tevékenység bemutatására vállalkozom, amely a tanulási zavarral küzdő tanulók kognitív és szociális képességeit is pozitívan befolyásolja a testmozgással, a kapcsolatteremtéssel.</w:t>
      </w:r>
      <w:r>
        <w:rPr>
          <w:color w:val="000000"/>
          <w:sz w:val="24"/>
          <w:szCs w:val="24"/>
        </w:rPr>
        <w:br/>
        <w:t xml:space="preserve">Vizsgálatomban tanulási zavarral küzdő tanuló esetét mutatom be, aki az iskolai készségek kevert zavarával küzd. A gyermek 2013 májusa óta vesz részt szakképzett lovasedzők által vezetett edzéseken lovasiskolai keretek között. Kutatásom egyetlen gyermek esetére irányul, így annak stratégiáját az esettanulmány készítésének szabályai alapján építettem fel. Jelen helyzetben az esettanulmánnyal célom, hogy bemutassam a 11 hónapon át végzett megfigyelést és annak eredményét. A területek, melyek változását követtem, a gyermek motivációja, önállósága és kapcsolatteremtő készsége.</w:t>
      </w:r>
      <w:r>
        <w:rPr>
          <w:color w:val="000000"/>
          <w:sz w:val="24"/>
          <w:szCs w:val="24"/>
        </w:rPr>
        <w:br/>
        <w:t xml:space="preserve">Kutatásom végére a vizsgált személynél bebizonyosodott, hogy a megfigyelt területek fejlődését befolyásolni lehet a tanulási zavarral küzdő gyermek életminőségének javítása érdekében. Az eredmény bizonyítja, hogy jelen esetben a tanulási zavar fejlesztése motoros és szociális területek felől is megközelíthető.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80722">
    <w:multiLevelType w:val="hybridMultilevel"/>
    <w:lvl w:ilvl="0" w:tplc="86342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80722">
    <w:abstractNumId w:val="28780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794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