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BAKONYI</w:t>
            </w:r>
          </w:p>
          <w:p w:rsidR="00C275A3" w:rsidRDefault="00A96AEC" w:rsidP="00C275A3">
            <w:pPr>
              <w:pStyle w:val="Hallgatokepzes"/>
            </w:pPr>
            <w:r>
              <w:t>Environmental science</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Katalin Hubai</w:t>
            </w:r>
          </w:p>
          <w:p w:rsidR="00DB4822" w:rsidRDefault="00DB4822" w:rsidP="00E11062">
            <w:pPr>
              <w:pStyle w:val="Konzulensek"/>
            </w:pPr>
            <w:r w:rsidRPr="00DB4822">
              <w:t>Assistant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littoral zone of the Nagytevel reservoir by the Integrated Macrophyte Index (IMMI) and the Shoreline Functionality Index (SFI)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increased water demand, a number of barrage reservoirs have been built across the Hungary. However, these physical interventions cause significant damage to water bodies. In this work, the littoral zone of the Nagytevel reservoirs was classified by the Shorezone Functionality Index (SFI), and the Integrated Macrophyte Index (IMMI). The shoreline was divided into homogeneous sections.. On the basis of the Naturalness index, poor category reached the highest percentage while the SFI classified most sections into the moderate category. Though there were differences between tje IMMI and SFI classifications, both indices demonstrated anthropogenic impacts. or the approximate realization of a State presence. Despite of apparent simplicity of the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41458">
    <w:multiLevelType w:val="hybridMultilevel"/>
    <w:lvl w:ilvl="0" w:tplc="14892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41458">
    <w:abstractNumId w:val="80941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803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