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MILÁN</w:t>
            </w:r>
          </w:p>
          <w:p w:rsidR="00C275A3" w:rsidRDefault="00A96AEC" w:rsidP="00C275A3">
            <w:pPr>
              <w:pStyle w:val="Hallgatokepzes"/>
            </w:pPr>
            <w:r>
              <w:t>Kémia Bsc.</w:t>
            </w:r>
            <w:r>
              <w:br/>
            </w:r>
            <w:r w:rsidR="00E77B23">
              <w:t>BSc, 8.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Kaizer József</w:t>
            </w:r>
          </w:p>
          <w:p w:rsidR="00DB4822" w:rsidRDefault="00DB4822" w:rsidP="00E11062">
            <w:pPr>
              <w:pStyle w:val="Konzulensek"/>
            </w:pPr>
            <w:r w:rsidRPr="00DB4822">
              <w:t>egyetemi tanár, PE MK</w:t>
            </w:r>
          </w:p>
        </w:tc>
      </w:tr>
      <w:tr w:rsidR="00DB4822" w:rsidTr="00DB4822">
        <w:tc>
          <w:tcPr>
            <w:tcW w:w="9854" w:type="dxa"/>
          </w:tcPr>
          <w:p w:rsidR="00DB4822" w:rsidRPr="00DB4822" w:rsidRDefault="00DB4822" w:rsidP="004D7940">
            <w:pPr>
              <w:pStyle w:val="Konzulensek"/>
            </w:pPr>
            <w:r w:rsidRPr="00DB4822">
              <w:t>Lakk-Bogáth Dóra</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Réz-aminosav komplexek előállítása és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enzimek; ACC-oxidáz; ROS; MCO; enzimmodellek</w:t>
      </w:r>
      <w:r>
        <w:t xml:space="preserve"/>
      </w:r>
    </w:p>
    <w:p>
      <w:pPr>
        <w:widowControl w:val="on"/>
        <w:pBdr/>
        <w:spacing w:before="240" w:after="240" w:line="240" w:lineRule="auto"/>
        <w:ind w:left="0" w:right="0"/>
        <w:jc w:val="left"/>
      </w:pPr>
      <w:r>
        <w:rPr>
          <w:color w:val="000000"/>
          <w:sz w:val="24"/>
          <w:szCs w:val="24"/>
        </w:rPr>
        <w:t xml:space="preserve">Az ACC-oxidáz (1-amino-ciklopropán-1-karbonsav oxidáz) vastartalmú enzim, amely a gyűrűs aminosav lebontásán keresztül etilént eredményez. Amely növényi hormonként többek között a gyümölcsök érési folyamatát befolyásolja, valamint az öregedési folyamatokban is fontos szerepet játszik. Tehát az ACC-oxidáz enzim működésének megértése, reakciómechanizmusának feltérképezése igen fontos feladat [1].</w:t>
      </w:r>
      <w:r>
        <w:rPr>
          <w:color w:val="000000"/>
          <w:sz w:val="24"/>
          <w:szCs w:val="24"/>
        </w:rPr>
        <w:br/>
        <w:t xml:space="preserve">Az enzimatikus reakciókon túl az aminosavak oxidációja az élő szervezetben egyrészt fémkatalizált oxidációs folyamatokon (MCO), másrészt reaktív oxigén részecskék (ROS) részvételén keresztül történik. Az aminosavak ROS indukált oxidációs reakcióinak mechanizmusa ismert, azonban sokkal kevesebbet tudunk a MCO folyamatokról. A MCO folyamatok reaktív intermedierek keletkezését eredményezheti (pl.: a hidroxil-gyök), amelyek káros elváltozásokat idézhetnek elő az élő szervezetekben (pl.: Alzheimer-kór kialakulása), tehát a fenti reakciók mechanizmusának megértése gyógyászati célokat is szolgálhat [2].</w:t>
      </w:r>
      <w:r>
        <w:rPr>
          <w:color w:val="000000"/>
          <w:sz w:val="24"/>
          <w:szCs w:val="24"/>
        </w:rPr>
        <w:br/>
        <w:t xml:space="preserve">Ezen kutatásoknak az ivóvíz tisztításában is nagy hasznát vehetik az aminosav-mentesítés során, mivel az aminosavakból az alkalmazott tisztítási módszerek hatásának eredményeként az élő szervezetekre káros vegyületek keletkezhetnek.</w:t>
      </w:r>
      <w:r>
        <w:rPr>
          <w:color w:val="000000"/>
          <w:sz w:val="24"/>
          <w:szCs w:val="24"/>
        </w:rPr>
        <w:br/>
        <w:t xml:space="preserve">A személyes munkám a következő volt: Réz-aminosav komplexek előállítása, azonosítása spektrofotometriai módszerekkel (infravörös spektroszkópia IR, UV-VIS spektrofotometria), szerkezetük feltérképezése (röntgendiffrakció), valamint a komplexek oxidációs reakcióinak vizsgálata az aminosav bomlási mechanizmusának megismerése céljából.</w:t>
      </w:r>
    </w:p>
    <w:p>
      <w:pPr>
        <w:widowControl w:val="on"/>
        <w:pBdr/>
        <w:spacing w:before="240" w:after="240" w:line="240" w:lineRule="auto"/>
        <w:ind w:left="0" w:right="0"/>
        <w:jc w:val="left"/>
      </w:pPr>
      <w:r>
        <w:rPr>
          <w:color w:val="000000"/>
          <w:sz w:val="24"/>
          <w:szCs w:val="24"/>
        </w:rPr>
        <w:t xml:space="preserve">Referenciák:</w:t>
      </w:r>
      <w:r>
        <w:rPr>
          <w:color w:val="000000"/>
          <w:sz w:val="24"/>
          <w:szCs w:val="24"/>
        </w:rPr>
        <w:br/>
        <w:t xml:space="preserve">[1] S. Góger, D. Bogáth, G. Baráth, A.J. Simaan, G. Speier, J. Kaizer, J. Inorg. Biochem. 2013, 123, 46.</w:t>
      </w:r>
      <w:r>
        <w:rPr>
          <w:color w:val="000000"/>
          <w:sz w:val="24"/>
          <w:szCs w:val="24"/>
        </w:rPr>
        <w:br/>
        <w:t xml:space="preserve">[2] F. E. Ali, K. J. Barnham, C. J. Barrow, F. Separovic, Letters in Peptide Science 2003, 10, 405.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74363">
    <w:multiLevelType w:val="hybridMultilevel"/>
    <w:lvl w:ilvl="0" w:tplc="92746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74363">
    <w:abstractNumId w:val="78674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045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