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MILÁN MOLNÁR</w:t>
            </w:r>
          </w:p>
          <w:p w:rsidR="00C275A3" w:rsidRDefault="00A96AEC" w:rsidP="00C275A3">
            <w:pPr>
              <w:pStyle w:val="Hallgatokepzes"/>
            </w:pPr>
            <w:r>
              <w:t>Chemistry Bsc.</w:t>
            </w:r>
            <w:r>
              <w:br/>
            </w:r>
            <w:r w:rsidR="00E77B23">
              <w:t>BSc, 8.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Dr. József Kaizer </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Dóra Lakk-Bogáth</w:t>
            </w:r>
          </w:p>
          <w:p w:rsidR="00DB4822" w:rsidRDefault="00DB4822" w:rsidP="00E11062">
            <w:pPr>
              <w:pStyle w:val="Konzulensek"/>
            </w:pPr>
            <w:r w:rsidRPr="00DB4822">
              <w:t>PhD student,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PRODUCTION AND EXAMINATION OF COPPER-AMINO ACID COMPLEXES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enzymes; ACC-oxidase; ROS; MCO; enzyme models</w:t>
      </w:r>
      <w:r>
        <w:t xml:space="preserve"/>
      </w:r>
    </w:p>
    <w:p>
      <w:pPr>
        <w:widowControl w:val="on"/>
        <w:pBdr/>
        <w:spacing w:before="240" w:after="240" w:line="240" w:lineRule="auto"/>
        <w:ind w:left="0" w:right="0"/>
        <w:jc w:val="left"/>
      </w:pPr>
      <w:r>
        <w:rPr>
          <w:color w:val="000000"/>
          <w:sz w:val="24"/>
          <w:szCs w:val="24"/>
        </w:rPr>
        <w:t xml:space="preserve">ACC-oxidase (1-amino-cyclopropane-1-carbonic acid oxidase) is a ferrous enzyme, that results ethylene through cyclic amino acid degradation. As a phytohormone it affects the ripening procedures of fruits, and plays important role in the ageing progression. Therefore the understanding and mapping of the reaction mechanisms of ACC oxidase enzyme is a highly significant matter [1].</w:t>
      </w:r>
      <w:r>
        <w:rPr>
          <w:color w:val="000000"/>
          <w:sz w:val="24"/>
          <w:szCs w:val="24"/>
        </w:rPr>
        <w:br/>
        <w:t xml:space="preserve">Beyond enzymatic reactions, the oxidation of amino acids in a living organization happens through (1) metal-catalyzed oxidation (MCO) and (2) through the presence of reactive oxygen particles (ROS). The mechanism of ROS induced oxidation reactions is well known, however we know far less about MCO procedures. MCO procedures may result the production of reactive intermediates (e.g. hydroxyl radical), which can cause harmful mutations in living organizations (e.g. Alzheimer disease), therefore understanding the mechanism of the above reactions could also serve medical purposes [2].</w:t>
      </w:r>
      <w:r>
        <w:rPr>
          <w:color w:val="000000"/>
          <w:sz w:val="24"/>
          <w:szCs w:val="24"/>
        </w:rPr>
        <w:br/>
        <w:t xml:space="preserve">These researches could also be useful in drinking-water treatment especially in the method of amino acid releasement, because harmful substances may emerge from the amino acid as a result of the presently applied treatment methods.</w:t>
      </w:r>
      <w:r>
        <w:rPr>
          <w:color w:val="000000"/>
          <w:sz w:val="24"/>
          <w:szCs w:val="24"/>
        </w:rPr>
        <w:br/>
        <w:t xml:space="preserve">My personal research covers the followings: production of copper-amino acid complexes, identification through spectrophotometric methods (infrared spectroscopy IR, UV-VIS spectrophotometry), mapping of their construction (x-ray diffraction), and examination of the complexes’ oxidation reaction for understanding the amino-acid degradation mechanism.</w:t>
      </w:r>
    </w:p>
    <w:p>
      <w:pPr>
        <w:widowControl w:val="on"/>
        <w:pBdr/>
        <w:spacing w:before="240" w:after="240" w:line="240" w:lineRule="auto"/>
        <w:ind w:left="0" w:right="0"/>
        <w:jc w:val="left"/>
      </w:pPr>
      <w:r>
        <w:rPr>
          <w:color w:val="000000"/>
          <w:sz w:val="24"/>
          <w:szCs w:val="24"/>
        </w:rPr>
        <w:t xml:space="preserve">References:</w:t>
      </w:r>
      <w:r>
        <w:rPr>
          <w:color w:val="000000"/>
          <w:sz w:val="24"/>
          <w:szCs w:val="24"/>
        </w:rPr>
        <w:br/>
        <w:t xml:space="preserve">[1] S. Góger, D. Bogáth, G. Baráth, A.J. Simaan, G. Speier, J. Kaizer, J. Inorg. Biochem., 46, 123 (2013).</w:t>
      </w:r>
      <w:r>
        <w:rPr>
          <w:color w:val="000000"/>
          <w:sz w:val="24"/>
          <w:szCs w:val="24"/>
        </w:rPr>
        <w:br/>
        <w:t xml:space="preserve">[2] F. E. Ali, K. J. Barnham, C. J. Barrow, F. Separovic, Letters in Peptide Science, 10, 405 (2003).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59225">
    <w:multiLevelType w:val="hybridMultilevel"/>
    <w:lvl w:ilvl="0" w:tplc="64671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59225">
    <w:abstractNumId w:val="578592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0054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