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ANTONI</w:t>
            </w:r>
          </w:p>
          <w:p w:rsidR="00C275A3" w:rsidRDefault="00A96AEC" w:rsidP="00C275A3">
            <w:pPr>
              <w:pStyle w:val="Hallgatokepzes"/>
            </w:pPr>
            <w:r>
              <w:t>Psychology</w:t>
            </w:r>
            <w:r>
              <w:br/>
            </w:r>
            <w:r w:rsidR="00E77B23">
              <w:t>BA, 5.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Melinda Reinhardt</w:t>
            </w:r>
          </w:p>
          <w:p w:rsidR="00DB4822" w:rsidRDefault="00DB4822" w:rsidP="009763E0">
            <w:pPr>
              <w:pStyle w:val="Konzulensektitulus"/>
            </w:pPr>
            <w:r w:rsidRPr="00DB4822">
              <w:t>professor assistant,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Psychologycal antecedents of menstruation-menstrual pain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research explores the painful menstrual period and the psychological aspect of it. In the social and cultural approach, menstrual period has become associated with the characteristics of an illness, considering pain and physical suffering as side effects of it. It is particularly important to take into account the psychological factors, since the highly emotional female genital system constitutes the pharmaceutical field of gynaecology. In my research I wish to demonstrate that the menstrual pain of women is influenced by their personal characteristics, menstrual attitude, the first experience of menstrual period and pain catastrophizing. In the first half of the year I designed my research around a snowball sampling approach using online questionnaires; then I conducted interviews. The research population was comprised of women from 18 to 55 years of age. The questionnaires were completed by 274 women and then 16 interviews were conducted by the research group. I carried out a correlation and regression analysis on the data and an independent T-test as well. Besides the quantitative methods of analysis, I examined the texts of the interviews. The analyses demonstrate that of the personal characteristics examined, the emotional instability shows medium-high connections with the number of menstrual symptoms. There is medium-high and low connections between the sub-factors of the Menstrual Attitude Questionnaire and the intensity of the menstrual pain. Considering the age of the participants, the experienced symptoms before the period and the intensity of pain are higher on average among respondents under the age of 30, than among participants from 30 to 55 years of age. According to the regressive analysis the attention to the menstrual period and the performance during the period as debilitating occurrence explain 35% of the intensity of the pain. It indicates as well that the menstrual period as a debilitating occurrence explains 41% of the experienced symptoms of emotional instability and the rate of the pain catastrophizing during the period. The results of my qualitative analysis demonstrate that the more negative the first experience of the menstrual period is the more negative the overall attitude towards it becomes. My results also highlight that besides the biological and genetic background, the psychological background, the menstrual attitude and the tendency to pain catastrophizing are important factors as well in the experience of pain.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24142">
    <w:multiLevelType w:val="hybridMultilevel"/>
    <w:lvl w:ilvl="0" w:tplc="521520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24142">
    <w:abstractNumId w:val="351241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51331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