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HEGEDÜS</w:t>
            </w:r>
          </w:p>
          <w:p w:rsidR="00C275A3" w:rsidRDefault="00A96AEC" w:rsidP="00C275A3">
            <w:pPr>
              <w:pStyle w:val="Hallgatokepzes"/>
            </w:pPr>
            <w:r>
              <w:t>Pre-School Teacher</w:t>
            </w:r>
            <w:r>
              <w:br/>
            </w:r>
            <w:r w:rsidR="00E77B23">
              <w:t>BA, 6.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Zsubrits</w:t>
            </w:r>
          </w:p>
          <w:p w:rsidR="00DB4822" w:rsidRDefault="00DB4822" w:rsidP="00E11062">
            <w:pPr>
              <w:pStyle w:val="Konzulensek"/>
            </w:pPr>
            <w:r w:rsidRPr="00DB4822">
              <w:t>assistant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tales enchantment in the children’s world- Comparative drawing analysis of “The Little Pig and the Wolves” Hungarian folktale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Tales have always been necessary. They are even nowadays and most probably their role will not change in the future either. Moreover, tales guide children how to cope with life, how to handle problems therefore they foster their development. In the meantime, the messages carried by tales enforce the development of children and help them to develop skills for problem-solving by using their imagination.Tales demonstrate that an inner development has to take place, by offering solutions on the level of children’s understanding. While children listen to these fairy tales, they perceive an active inner work that helps them overcome the stress, tensions and also the anxiety they might have.</w:t>
      </w:r>
    </w:p>
    <w:p>
      <w:pPr>
        <w:widowControl w:val="on"/>
        <w:pBdr/>
        <w:spacing w:before="240" w:after="240" w:line="240" w:lineRule="auto"/>
        <w:ind w:left="0" w:right="0"/>
        <w:jc w:val="left"/>
      </w:pPr>
      <w:r>
        <w:rPr>
          <w:color w:val="000000"/>
          <w:sz w:val="24"/>
          <w:szCs w:val="24"/>
        </w:rPr>
        <w:t xml:space="preserve">I made my research by a tale drawing- method with a projective drawing test, 80, 4-7 years old among preschoolers, because in this method the children/examined person get a maximal freedom to express him/herself. During my research I investigated the main motives on the drawings making comparisons between the perceptions of girls and boys. I found it important to consider the process of the externalisation and the elaboration on the drawings.</w:t>
      </w:r>
    </w:p>
    <w:p>
      <w:pPr>
        <w:widowControl w:val="on"/>
        <w:pBdr/>
        <w:spacing w:before="240" w:after="240" w:line="240" w:lineRule="auto"/>
        <w:ind w:left="0" w:right="0"/>
        <w:jc w:val="left"/>
      </w:pPr>
      <w:r>
        <w:rPr>
          <w:color w:val="000000"/>
          <w:sz w:val="24"/>
          <w:szCs w:val="24"/>
        </w:rPr>
        <w:t xml:space="preserve">An important aspect of my research is the way of the visual projection of the aggression and tension between the genders. May the boys project the aggression in different ways than the girls? Which way will it represent in the girls drawing, if the motives don’t show any inner tension?</w:t>
      </w:r>
    </w:p>
    <w:p>
      <w:pPr>
        <w:widowControl w:val="on"/>
        <w:pBdr/>
        <w:spacing w:before="240" w:after="240" w:line="240" w:lineRule="auto"/>
        <w:ind w:left="0" w:right="0"/>
        <w:jc w:val="left"/>
      </w:pPr>
      <w:r>
        <w:rPr>
          <w:color w:val="000000"/>
          <w:sz w:val="24"/>
          <w:szCs w:val="24"/>
        </w:rPr>
        <w:t xml:space="preserve">My research has proved the hypothesis. The results of the girls support the hypothetical analysis as their inner aggression is hidden, the psychological tensions and even aggression does not pop out as by the boys. Comparing the results to the case of boys, we get to different conclusion. The results of the boys show that their capabilities tend to express their vulnerable selves, the aggression they have inside by visualization. The colours they use, the faces they draw represent how they got affected. At the meantime, the drawings from the girls are colourful, using happy faces and even fewer wolves appear on them. The decoration and also the sizes of the motives are being externalized the hidden aggression.</w:t>
      </w:r>
    </w:p>
    <w:p>
      <w:pPr>
        <w:widowControl w:val="on"/>
        <w:pBdr/>
        <w:spacing w:before="240" w:after="240" w:line="240" w:lineRule="auto"/>
        <w:ind w:left="0" w:right="0"/>
        <w:jc w:val="left"/>
      </w:pPr>
      <w:r>
        <w:rPr>
          <w:color w:val="000000"/>
          <w:sz w:val="24"/>
          <w:szCs w:val="24"/>
        </w:rPr>
        <w:t xml:space="preserve">In conclusion, I would like to highlight the idea that my research can be used in analysing the visual externalisation of the tale tension by children with critical social conditions. Furthermore it can utilize the results as to prove how children perceive the information and how their abilities of processing aggression are elaborated.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83400">
    <w:multiLevelType w:val="hybridMultilevel"/>
    <w:lvl w:ilvl="0" w:tplc="54717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83400">
    <w:abstractNumId w:val="736834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497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