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MARTON</w:t>
            </w:r>
          </w:p>
          <w:p w:rsidR="00C275A3" w:rsidRDefault="00A96AEC" w:rsidP="00C275A3">
            <w:pPr>
              <w:pStyle w:val="Hallgatokepzes"/>
            </w:pPr>
            <w:r>
              <w:t>International Business Economics</w:t>
            </w:r>
            <w:r>
              <w:br/>
            </w:r>
            <w:r w:rsidR="00E77B23">
              <w:t>BSc,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Peter Halmai</w:t>
            </w:r>
          </w:p>
          <w:p w:rsidR="00DB4822" w:rsidRDefault="00DB4822" w:rsidP="00BA6BAF">
            <w:pPr>
              <w:pStyle w:val="Konzulensektitulus"/>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fiscal consolidation in relation to European sovereign debt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sovereign debt crisis; fiscal consolidation; European Union; CDS spreads; public debt</w:t>
      </w:r>
      <w:r>
        <w:t xml:space="preserve"/>
      </w:r>
    </w:p>
    <w:p>
      <w:pPr>
        <w:widowControl w:val="on"/>
        <w:pBdr/>
        <w:spacing w:before="240" w:after="240" w:line="240" w:lineRule="auto"/>
        <w:ind w:left="0" w:right="0"/>
        <w:jc w:val="left"/>
      </w:pPr>
      <w:r>
        <w:rPr>
          <w:color w:val="000000"/>
          <w:sz w:val="24"/>
          <w:szCs w:val="24"/>
        </w:rPr>
        <w:t xml:space="preserve">The "subprime" crisis was started in 2007 in the United States and caused global financial and real economy crisis, which had an impact mainly in the European Union. As a consequence of crisis management gross public debt to GDP – which have already been very high before the crisis - reached 80.0 per cent of GDP in 2010. Sovereign debt crisis developed in the countries at the periphery of the European Union. This topic is timely because the public debt has risen to an even higher level than in 2010, thereby leading to the need for fiscal consolidation as soon as possible in most Member States.</w:t>
      </w:r>
    </w:p>
    <w:p>
      <w:pPr>
        <w:widowControl w:val="on"/>
        <w:pBdr/>
        <w:spacing w:before="240" w:after="240" w:line="240" w:lineRule="auto"/>
        <w:ind w:left="0" w:right="0"/>
        <w:jc w:val="left"/>
      </w:pPr>
      <w:r>
        <w:rPr>
          <w:color w:val="000000"/>
          <w:sz w:val="24"/>
          <w:szCs w:val="24"/>
        </w:rPr>
        <w:t xml:space="preserve">The central theme of my paper is the examination of the impact of fiscal the consolidation in the context of the European sovereign debt crisis. The objective of this research is to provide a comprehensive picture of the sovereign debt and fiscal adjustment, as a potential management instrument and that about its possibilities manoeuvres and effects.</w:t>
      </w:r>
    </w:p>
    <w:p>
      <w:pPr>
        <w:widowControl w:val="on"/>
        <w:pBdr/>
        <w:spacing w:before="240" w:after="240" w:line="240" w:lineRule="auto"/>
        <w:ind w:left="0" w:right="0"/>
        <w:jc w:val="left"/>
      </w:pPr>
      <w:r>
        <w:rPr>
          <w:color w:val="000000"/>
          <w:sz w:val="24"/>
          <w:szCs w:val="24"/>
        </w:rPr>
        <w:t xml:space="preserve">The first part of the paper using the domestic and international literature I review conceptual scope of the sovereign debt crisis, as well as the causes and effects of this crisis development. In addition, I also examine the causes that can be traced back to the fact that in contrast to the periphery countries the high rates of public debt will not be resulted in sovereign debt crisis in the core countries.</w:t>
      </w:r>
    </w:p>
    <w:p>
      <w:pPr>
        <w:widowControl w:val="on"/>
        <w:pBdr/>
        <w:spacing w:before="240" w:after="240" w:line="240" w:lineRule="auto"/>
        <w:ind w:left="0" w:right="0"/>
        <w:jc w:val="left"/>
      </w:pPr>
      <w:r>
        <w:rPr>
          <w:color w:val="000000"/>
          <w:sz w:val="24"/>
          <w:szCs w:val="24"/>
        </w:rPr>
        <w:t xml:space="preserve">Then, I examine the fiscal consolidation using QUEST III model, which was developed by the European Commission; I present the instruments of fiscal consolidation and the macroeconomic effects of these different implementations.</w:t>
      </w:r>
    </w:p>
    <w:p>
      <w:pPr>
        <w:widowControl w:val="on"/>
        <w:pBdr/>
        <w:spacing w:before="240" w:after="240" w:line="240" w:lineRule="auto"/>
        <w:ind w:left="0" w:right="0"/>
        <w:jc w:val="left"/>
      </w:pPr>
      <w:r>
        <w:rPr>
          <w:color w:val="000000"/>
          <w:sz w:val="24"/>
          <w:szCs w:val="24"/>
        </w:rPr>
        <w:t xml:space="preserve">In the third and final part of the paper I carry out an analysis of the current situation in the context of quantitative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61062">
    <w:multiLevelType w:val="hybridMultilevel"/>
    <w:lvl w:ilvl="0" w:tplc="63114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61062">
    <w:abstractNumId w:val="86561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118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