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CINTIA SZENTELEKI</w:t>
            </w:r>
          </w:p>
          <w:p w:rsidR="00C275A3" w:rsidRDefault="00A96AEC" w:rsidP="00C275A3">
            <w:pPr>
              <w:pStyle w:val="Hallgatokepzes"/>
            </w:pPr>
            <w:r>
              <w:t>MSc in Management and Leadership</w:t>
            </w:r>
            <w:r>
              <w:br/>
            </w:r>
            <w:r w:rsidR="00E77B23">
              <w:t>MSc, 2.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Mária Komlósi</w:t>
            </w:r>
          </w:p>
          <w:p w:rsidR="00DB4822" w:rsidRDefault="00DB4822" w:rsidP="00E11062">
            <w:pPr>
              <w:pStyle w:val="Konzulensek"/>
            </w:pPr>
            <w:r w:rsidRPr="00DB4822">
              <w:t>Lecturer, PhD student,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emotional intelligence, work-life balance and work related quality of life among students in a rural university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emotional intelligence; work-life balance; work related quality of life</w:t>
      </w:r>
      <w:r>
        <w:t xml:space="preserve"/>
      </w:r>
    </w:p>
    <w:p>
      <w:pPr>
        <w:widowControl w:val="on"/>
        <w:pBdr/>
        <w:spacing w:before="240" w:after="240" w:line="240" w:lineRule="auto"/>
        <w:ind w:left="0" w:right="0"/>
        <w:jc w:val="left"/>
      </w:pPr>
      <w:r>
        <w:rPr>
          <w:color w:val="000000"/>
          <w:sz w:val="24"/>
          <w:szCs w:val="24"/>
        </w:rPr>
        <w:t xml:space="preserve">Nowadays more and more student are working beside their university studies not just as a part of internship for studies, but also for financing their everyday lives. They work part or full time.</w:t>
      </w:r>
      <w:r>
        <w:rPr>
          <w:color w:val="000000"/>
          <w:sz w:val="24"/>
          <w:szCs w:val="24"/>
        </w:rPr>
        <w:br/>
        <w:t xml:space="preserve">This research aims to examine the possible relationship between emotional intelligence, work-life balance and work related quality of life. Also the research presumes there is a relation among emotional intelligence factors and work-life balance factors, and also emotional intelligence and work related quality of life. This research assumes the difference between those students’ emotional intelligence who work beside their studies compared to those who do not.</w:t>
      </w:r>
      <w:r>
        <w:rPr>
          <w:color w:val="000000"/>
          <w:sz w:val="24"/>
          <w:szCs w:val="24"/>
        </w:rPr>
        <w:br/>
        <w:t xml:space="preserve">Based on previous research outcomes, this study suggests that students with different emotional intelligence level have different preferences among the work and private life factors that have influence their work-life balance. Quantitative method have been used for the research that have been carried out with university students of a prominent provincial university.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74027">
    <w:multiLevelType w:val="hybridMultilevel"/>
    <w:lvl w:ilvl="0" w:tplc="52704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74027">
    <w:abstractNumId w:val="480740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3381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