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VÁRY MIKLÓS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Mellár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Calvo-árazás hatásai egy ágensalapú piaci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Calvo-árazás; ágensalapú modellezés; ármerevség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ágensalapú piaci modell keretei közé vezetjük be az ármerevségek népszerű modellezési eszközét, a Calvo-árazást. Amellett érvelünk, hogy a Calvo-árazás DSGE modellekben megszokott következményei (trade-off az ár és a termelés ingadozása közt, illetve az átlagos értékek változatlansága az ármerevség mértékének függvényében) csak a modellek specifikus előfeltevéseiből következnek. Megmutatjuk, hogy egy realisztikusabb feltevéseken nyugvó ágensalapú modellben más hatásokkal jár a Calvo-árazás.</w:t>
      </w:r>
      <w:r>
        <w:rPr>
          <w:color w:val="000000"/>
          <w:sz w:val="24"/>
          <w:szCs w:val="24"/>
        </w:rPr>
        <w:br/>
        <w:t xml:space="preserve">Azt találjuk, hogy trade-off helyett pozitív kapcsolat figyelhető meg az ár és a termelés ingadozása közt az ármerevség mértékének függvényében, és az ármerevség mértéke nem lineárisan, hanem egy fordított U-alakú összefüggésnek megfelelően hat az aggregált változók ingadozására. Az árak nagyobb rugalmassága nagyobb átlagos aggregált kibocsátáshoz is vezet. Ha a vállalatok heterogénebbek ármerevség szempontjából, az nem befolyásolja a változókat. Ha a vállalatok nagyobb súllyal veszik figyelembe a versenytársak árait az árdöntés során, akkor Calvo-árazás nélkül csökken, Calvo-árazással nő az ár és a termelés ingadozása. A vállalatok közti ismertségi hálózat sűrűségének növekedése Calvo-árazás nélkül csökkenti az ár és a termelés ingadozását, Calvo-árazással viszont nem gyakorol rájuk szignifikáns hatást.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76575">
    <w:multiLevelType w:val="hybridMultilevel"/>
    <w:lvl w:ilvl="0" w:tplc="76117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76575">
    <w:abstractNumId w:val="450765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578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