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GALÁNTAI</w:t>
            </w:r>
          </w:p>
          <w:p w:rsidR="00C275A3" w:rsidRDefault="00A96AEC" w:rsidP="00C275A3">
            <w:pPr>
              <w:pStyle w:val="Hallgatokepzes"/>
            </w:pPr>
            <w:r>
              <w:t>Finance</w:t>
            </w:r>
            <w:r>
              <w:br/>
            </w:r>
            <w:r w:rsidR="00E77B23">
              <w:t>MSc, 3.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János Barancsuk</w:t>
            </w:r>
          </w:p>
          <w:p w:rsidR="00DB4822" w:rsidRDefault="00DB4822" w:rsidP="00BA6BAF">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Knowledge and Power. Higher Education and Labour Market in the Late Modern Society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higher education; labour market; microeconomics; modeling</w:t>
      </w:r>
      <w:r>
        <w:t xml:space="preserve"/>
      </w:r>
    </w:p>
    <w:p>
      <w:pPr>
        <w:widowControl w:val="on"/>
        <w:pBdr/>
        <w:spacing w:before="240" w:after="240" w:line="240" w:lineRule="auto"/>
        <w:ind w:left="0" w:right="0"/>
        <w:jc w:val="left"/>
      </w:pPr>
      <w:r>
        <w:rPr>
          <w:color w:val="000000"/>
          <w:sz w:val="24"/>
          <w:szCs w:val="24"/>
        </w:rPr>
        <w:t xml:space="preserve">The connection between higher education and labour market is a well researched topic in the social science of late modern society, it’s common talk, too. The higher education after global expansion works in big volume, its output is a valid question of national labour markets, its research is taken by economics of education. In our paper we review the mainstream discourses of the topic, we research their interpretive potencial and limits. At the end we have a try at sketching a new interpretive frame with microeconomics modeling.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88038">
    <w:multiLevelType w:val="hybridMultilevel"/>
    <w:lvl w:ilvl="0" w:tplc="28213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88038">
    <w:abstractNumId w:val="929880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8326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