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HEIZINGER</w:t>
            </w:r>
          </w:p>
          <w:p w:rsidR="00C275A3" w:rsidRDefault="00A96AEC" w:rsidP="00C275A3">
            <w:pPr>
              <w:pStyle w:val="Hallgatokepzes"/>
            </w:pPr>
            <w:r>
              <w:t>hungarian literature and grammar - pedagogy</w:t>
            </w:r>
            <w:r>
              <w:br/>
            </w:r>
            <w:r w:rsidR="00E77B23">
              <w:t>BA, 6.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Kovács</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Potrayal of the child in Az én falum short story collection by Géza Gárdonyi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br/>
        <w:t xml:space="preserve">The present study investigates Géza Gárdonyi’s perspective about different views of children and potrayals of children according to his two works: Mesterkönyv and Tükörképeim. This paper examines the existence of a border situation or dilemma in the view of the children’s position. The investigation of naivety also plays a significant role in the analysis.</w:t>
      </w:r>
    </w:p>
    <w:p>
      <w:pPr>
        <w:widowControl w:val="on"/>
        <w:pBdr/>
        <w:spacing w:before="240" w:after="240" w:line="240" w:lineRule="auto"/>
        <w:ind w:left="0" w:right="0"/>
        <w:jc w:val="left"/>
      </w:pPr>
      <w:r>
        <w:rPr>
          <w:color w:val="000000"/>
          <w:sz w:val="24"/>
          <w:szCs w:val="24"/>
        </w:rPr>
        <w:t xml:space="preserve">The centre of the paper encompasses the analysis of two work ((A hópehely, Kék pille). The analysis investigates various child-types and their characteristics. The symbols (e.g. butterfly, snow, flower, dog) that appear in the works are also mentioned. Furthermore the investigation integrates the viewpoint of the folk preceptor that posesses an important voice in the stories. The appearance of the dominical attributes are presented and serves as a basis of the parallel between the groups from the two border.</w:t>
      </w:r>
    </w:p>
    <w:p>
      <w:pPr>
        <w:widowControl w:val="on"/>
        <w:pBdr/>
        <w:spacing w:before="240" w:after="240" w:line="240" w:lineRule="auto"/>
        <w:ind w:left="0" w:right="0"/>
        <w:jc w:val="left"/>
      </w:pPr>
      <w:r>
        <w:rPr>
          <w:color w:val="000000"/>
          <w:sz w:val="24"/>
          <w:szCs w:val="24"/>
        </w:rPr>
        <w:t xml:space="preserve">In conclusion this paper demonstrate a comprehensive picture of Géza Gárdonyi’s views of children by concentrating on the problem of being a member of juvenile literature or giving voice to serious judgemnets through the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57489">
    <w:multiLevelType w:val="hybridMultilevel"/>
    <w:lvl w:ilvl="0" w:tplc="65348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57489">
    <w:abstractNumId w:val="95257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037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