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TARSÓ</w:t>
            </w:r>
          </w:p>
          <w:p w:rsidR="00C275A3" w:rsidRDefault="00A96AEC" w:rsidP="00C275A3">
            <w:pPr>
              <w:pStyle w:val="Hallgatokepzes"/>
            </w:pPr>
            <w:r>
              <w:t>English Studies</w:t>
            </w:r>
            <w:r>
              <w:br/>
            </w:r>
            <w:r w:rsidR="00E77B23">
              <w:t>MA, 4.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Szabó F. PhD</w:t>
            </w:r>
          </w:p>
          <w:p w:rsidR="00DB4822" w:rsidRDefault="00DB4822" w:rsidP="00E11062">
            <w:pPr>
              <w:pStyle w:val="Konzulensek"/>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Horror on Plate: From Postmodern Literature to Mock Documentary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current research is to prove that the mock documentary genre has its roots in postmodern literature with metafiction as the connection between the two.</w:t>
      </w:r>
      <w:r>
        <w:rPr>
          <w:color w:val="000000"/>
          <w:sz w:val="24"/>
          <w:szCs w:val="24"/>
        </w:rPr>
        <w:br/>
        <w:t xml:space="preserve">As a starting point, the current research provides a discussion of the common characteristic features of postmodern literature based on contemporary theories of postmodernism. Then, a milestone mock documentary film The Blair Witch Project (1999) and the later Paranormal Activity (2009) and Dyatlov Pass Incident (2013) are introduced and discussed. As a next step, the presentation of the shared traits of mock documentary movies and postmodern literature follows. Finally, John Barth’s Lost in the Funhouse (1968) is compared to mock documentaries with respect to their use of metafiction. The comparative study is carried out with the help of Barker and Galasinski’s (2001) template for discourse analysis.</w:t>
      </w:r>
      <w:r>
        <w:rPr>
          <w:color w:val="000000"/>
          <w:sz w:val="24"/>
          <w:szCs w:val="24"/>
        </w:rPr>
        <w:br/>
        <w:t xml:space="preserve">Findings from the study revealed that discussed mock documentary movies share an impulse with postmodern literature and that there is a direct link between metafiction and mock documentaries.</w:t>
      </w:r>
      <w:r>
        <w:rPr>
          <w:color w:val="000000"/>
          <w:sz w:val="24"/>
          <w:szCs w:val="24"/>
        </w:rPr>
        <w:br/>
        <w:t xml:space="preserve">The results of the study contribute to the understanding and interpretation of mock documentary horror movies and shed new lights on the interpretation of postmodern texts, too. Moreover, they promise to be a valuable tool in familiarizing students with postmodern aesthetic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60818">
    <w:multiLevelType w:val="hybridMultilevel"/>
    <w:lvl w:ilvl="0" w:tplc="43984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60818">
    <w:abstractNumId w:val="26660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569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