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JÚLIA BOGLÁRKA BÉKÉSI</w:t>
            </w:r>
          </w:p>
          <w:p w:rsidR="00C275A3" w:rsidRDefault="00A96AEC" w:rsidP="00C275A3">
            <w:pPr>
              <w:pStyle w:val="Hallgatokepzes"/>
            </w:pPr>
            <w:r>
              <w:t>Political Science</w:t>
            </w:r>
            <w:r>
              <w:br/>
            </w:r>
            <w:r w:rsidR="00E77B23">
              <w:t>BA, 6. semester</w:t>
            </w:r>
          </w:p>
          <w:p w:rsidR="00C265CE" w:rsidRPr="009E5FF1" w:rsidRDefault="00E77B23" w:rsidP="009763E0">
            <w:pPr>
              <w:pStyle w:val="Hallgatointezmeny-kar"/>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Dr.Habil. Zoltán Kalmár </w:t>
            </w:r>
          </w:p>
          <w:p w:rsidR="00DB4822" w:rsidRDefault="00DB4822" w:rsidP="009763E0">
            <w:pPr>
              <w:pStyle w:val="Konzulensektitulus"/>
            </w:pPr>
            <w:r w:rsidRPr="00DB4822">
              <w:t>Mr, Associate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formation of parties of Hungarian ethnicity in Romania from the democratisation until today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takes a look at the current parties of Hungarian ethnicity in the making in the „new” Romania. A nation’s political culture is much defined by the way it deals with its own ethnicities. The issue at hand comprises the past, the Romanian political transition, the establishment of political pluralism, the eventful present, and the possible future perspectives.</w:t>
      </w:r>
    </w:p>
    <w:p>
      <w:pPr>
        <w:widowControl w:val="on"/>
        <w:pBdr/>
        <w:spacing w:before="240" w:after="240" w:line="240" w:lineRule="auto"/>
        <w:ind w:left="0" w:right="0"/>
        <w:jc w:val="left"/>
      </w:pPr>
      <w:r>
        <w:rPr>
          <w:color w:val="000000"/>
          <w:sz w:val="24"/>
          <w:szCs w:val="24"/>
        </w:rPr>
        <w:t xml:space="preserve">The Republic of Romania has a population of approximately 20 million people, nearly 6,5% of which is made up of a group that retains its Hungarian identity. Being a native people in this land, Hungarians naturally reserve the right to be well represented in the parties. The first part of this work analyses the most prominent organization ever, the Democratic Alliance of Hungarians in Romania, the conditions of its establishment, and its relations to its counterparts that have emerged in recent years.</w:t>
      </w:r>
    </w:p>
    <w:p>
      <w:pPr>
        <w:widowControl w:val="on"/>
        <w:pBdr/>
        <w:spacing w:before="240" w:after="240" w:line="240" w:lineRule="auto"/>
        <w:ind w:left="0" w:right="0"/>
        <w:jc w:val="left"/>
      </w:pPr>
      <w:r>
        <w:rPr>
          <w:color w:val="000000"/>
          <w:sz w:val="24"/>
          <w:szCs w:val="24"/>
        </w:rPr>
        <w:t xml:space="preserve">The turn of the millenium brought about significant changes even for the Hungarians in Romania. The onset of political pluralism (2003-2007) included the disintegration of RMDSZ (Democratic Alliance of Hungarians in Romania), which resulted in the institualization of the opposition. The study tries to encompass all possible aspects of the Romanian election system in terms of possibilities for the ethnical representation, given the fact that the new law of election defines criteria for the registration of organizations, which, among others, plays an important role in the formation of new political forces.</w:t>
      </w:r>
    </w:p>
    <w:p>
      <w:pPr>
        <w:widowControl w:val="on"/>
        <w:pBdr/>
        <w:spacing w:before="240" w:after="240" w:line="240" w:lineRule="auto"/>
        <w:ind w:left="0" w:right="0"/>
        <w:jc w:val="left"/>
      </w:pPr>
      <w:r>
        <w:rPr>
          <w:color w:val="000000"/>
          <w:sz w:val="24"/>
          <w:szCs w:val="24"/>
        </w:rPr>
        <w:t xml:space="preserve">Finally, the study places the Hungarian parties in Romania on an ideological scale, outlining the history of their relations, which fundamentally determines the situation of Hungarians in Romania in the future.</w:t>
      </w:r>
    </w:p>
    <w:p>
      <w:pPr>
        <w:widowControl w:val="on"/>
        <w:pBdr/>
        <w:spacing w:before="240" w:after="240" w:line="240" w:lineRule="auto"/>
        <w:ind w:left="0" w:right="0"/>
        <w:jc w:val="left"/>
      </w:pPr>
      <w:r>
        <w:rPr>
          <w:color w:val="000000"/>
          <w:sz w:val="24"/>
          <w:szCs w:val="24"/>
        </w:rPr>
        <w:t xml:space="preserve">Throughout the study distinct attention is paid to reveal the responses of the Hungarian political elite in connection with events related to the ethnical policy in Romania, especially to the new parties.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54335">
    <w:multiLevelType w:val="hybridMultilevel"/>
    <w:lvl w:ilvl="0" w:tplc="713693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54335">
    <w:abstractNumId w:val="911543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49845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