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DÓRA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Erdős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népszavazás és a népszavazási eljárás az új törvény tükrében- különös tekintettel az alkotmányjogi panasz jogorvoslati eljárásban betöltött szerepére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népszavazás, ami a közvetlen demokrácia legfontosabb eszköze. Ez az intézmény teremti meg annak a lehetőségét, hogy a nép ne csupán a képviseleti szervek megválasztásán keresztül közvetetten, hanem közvetlenül is beleszólhasson az ország sorsát érintő legfontosabb döntésekbe. A népszavazás, azon belül az országos népszavazás a népszuverenitás gyakorlásának kivételes módja, amelyet az Országgyűlés hatáskörébe tartozó kérdésekben lehet tartani. A népszavazással kapcsolatos rendelkezések 1997 óta részei az alkotmányi szabályoknak.</w:t>
      </w:r>
      <w:r>
        <w:rPr>
          <w:color w:val="000000"/>
          <w:sz w:val="24"/>
          <w:szCs w:val="24"/>
        </w:rPr>
        <w:br/>
        <w:t xml:space="preserve">Témaválasztásomat mégis ezen kérdés aktualitása indukálta. Hiszen a közelmúltban megalkotott törvényeknek köszönhetően teljesen átalakult a népszavazásra vonatkozó hazai szabályozás kezdve Magyarország Alaptörvényétől, a népszavazás kezdeményezéséről, az európai polgári kezdeményezésről, valamint a népszavazási eljárásról szóló 2013. évi CCXXXVIII. törvény (a továbbiakban: új Nsztv.) keresztül, egészen a választási eljárásról szóló 2013. évi XXXVI. törvényig.</w:t>
      </w:r>
      <w:r>
        <w:rPr>
          <w:color w:val="000000"/>
          <w:sz w:val="24"/>
          <w:szCs w:val="24"/>
        </w:rPr>
        <w:br/>
        <w:t xml:space="preserve">A teljesen új joganyag lehetővé tette munkám során számos nóvum elemzését, így többek között a népi kezdeményezés intézményének a megszűntetéséről, a véleménynyilvánító népszavazási típus eltörléséről és a tiltott tárgykörök újraszabályozásáról számolhattam be. Az Országgyűlés feladat- és hatáskörébe tartozóság kérdésében pedig az Alkotmánybíróság és a Kúria eltérő álláspontjainak összehasonlításával foglalkoztam.</w:t>
      </w:r>
      <w:r>
        <w:rPr>
          <w:color w:val="000000"/>
          <w:sz w:val="24"/>
          <w:szCs w:val="24"/>
        </w:rPr>
        <w:br/>
        <w:t xml:space="preserve">Kiemelt figyelmet mégis a témám középpontját jelentő jogorvoslati eljárás érdemelt. Hiszen az új Nsztv. modifikálta a jogorvoslati eljárás kontrollfórumát, aminek köszönhetően a hitelesítési eljárásban az Alkotmánybíróság helyett a Kúria kapta meg a másodfokú hatáskört. Az Alkotmánybíróság szerepe így csökkent a jogorvoslati eljárásban, amit még kiegészít az is, hogy az új Nsztv. nem tér ki az alkotmányjogi panasz indításának a lehetőségére sem, ezért ezzel kapcsolatban de lege ferenda javaslataimat fogalmaztam meg. Felvázoltam a véleményem szerint követendő szabályozási struktúrát a jogorvoslati eljáráson belül, ahol a határidők módosításával és az alkotmányjogi panasz benyújtása lehetőségének kifejezett szerepeltetésével látom elérhetőnek a szabályozás hézagmentes voltát.</w:t>
      </w:r>
      <w:r>
        <w:rPr>
          <w:color w:val="000000"/>
          <w:sz w:val="24"/>
          <w:szCs w:val="24"/>
        </w:rPr>
        <w:br/>
        <w:t xml:space="preserve">E nézeteimet az Alkotmánybíróság határozataira alapítom és bár az Alaptörvény negyedik módosítása értelmében az Alaptörvény hatályba lépése előtt hozott AB határozatok hatályukat vesztik, mégis alkotmányos követelményként alkalmazhatóak és hivatkozási alapul szolgálnak.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69184">
    <w:multiLevelType w:val="hybridMultilevel"/>
    <w:lvl w:ilvl="0" w:tplc="69677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69184">
    <w:abstractNumId w:val="98469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881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