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MOLNÁR</w:t>
            </w:r>
          </w:p>
          <w:p w:rsidR="00C275A3" w:rsidRDefault="00A96AEC" w:rsidP="00C275A3">
            <w:pPr>
              <w:pStyle w:val="Hallgatokepzes"/>
            </w:pPr>
            <w:r>
              <w:t>lawyer</w:t>
            </w:r>
            <w:r>
              <w:br/>
            </w:r>
            <w:r w:rsidR="00E77B23">
              <w:t>Unified, 8.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Erdős Dr.</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Regulation of Referendum and its Procedure - with Special Regard to the Role of the Constitutional Complaint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paper is referendum, which is the most important tool of direct democracy. This institution creates the possibility that people can influence the major decisions affecting the future of the country not only through indirect election of the representative organs, but directly also. Referendum, particularly national referendum is the exceptional way of exercising popular sovereignty, which can be maintained in the matters within the competence of the Parliament. Provisions relating to the referendum are part of the constitutional rules since 1997.</w:t>
      </w:r>
    </w:p>
    <w:p>
      <w:pPr>
        <w:widowControl w:val="on"/>
        <w:pBdr/>
        <w:spacing w:before="240" w:after="240" w:line="240" w:lineRule="auto"/>
        <w:ind w:left="0" w:right="0"/>
        <w:jc w:val="left"/>
      </w:pPr>
      <w:r>
        <w:rPr>
          <w:color w:val="000000"/>
          <w:sz w:val="24"/>
          <w:szCs w:val="24"/>
        </w:rPr>
        <w:t xml:space="preserve">My topic selection was induced by this matter’s actuality. Because, thanks to the recently created laws, the domestic legislation on referendum is complementely transformed, starting with the Constitution of Hungary, through the initiation of referendum, the European Citizens' Initiative, and the referendum proceeding’s law 2013. CCXXXVIII, till the election procedure’s law 2013. XXXVI.</w:t>
      </w:r>
    </w:p>
    <w:p>
      <w:pPr>
        <w:widowControl w:val="on"/>
        <w:pBdr/>
        <w:spacing w:before="240" w:after="240" w:line="240" w:lineRule="auto"/>
        <w:ind w:left="0" w:right="0"/>
        <w:jc w:val="left"/>
      </w:pPr>
      <w:r>
        <w:rPr>
          <w:color w:val="000000"/>
          <w:sz w:val="24"/>
          <w:szCs w:val="24"/>
        </w:rPr>
        <w:t xml:space="preserve">The brand new law has allowed analysis of many novelty during my work, both at the level of the Constitution of Hungary and the laws. So I report of the abolition of institution of the people's initiative, the abolition of the consultative referendum type and the re-regulation of the prohibited subjects. Concerning competence and responsibility of the Parliament.</w:t>
      </w:r>
      <w:r>
        <w:rPr>
          <w:color w:val="000000"/>
          <w:sz w:val="24"/>
          <w:szCs w:val="24"/>
        </w:rPr>
        <w:br/>
        <w:t xml:space="preserve">I dealt with the differences between the opinion of the Constitutional Court and the Supreme Court.</w:t>
      </w:r>
    </w:p>
    <w:p>
      <w:pPr>
        <w:widowControl w:val="on"/>
        <w:pBdr/>
        <w:spacing w:before="240" w:after="240" w:line="240" w:lineRule="auto"/>
        <w:ind w:left="0" w:right="0"/>
        <w:jc w:val="left"/>
      </w:pPr>
      <w:r>
        <w:rPr>
          <w:color w:val="000000"/>
          <w:sz w:val="24"/>
          <w:szCs w:val="24"/>
        </w:rPr>
        <w:t xml:space="preserve">The appeal procedure as the center of my topic required emphasis. The referendum proceeding’s law modified the control forum of the appeals procedures, resulting that Supreme Court got the appeal competence in the authentication process. Thus the role of Constitutional Court was cut back in appeal process, plus the nem law shuns the legislation of the filing of constiutional complaint so I made my de lege ferenda suggestions concerning this topic.</w:t>
      </w:r>
    </w:p>
    <w:p>
      <w:pPr>
        <w:widowControl w:val="on"/>
        <w:pBdr/>
        <w:spacing w:before="240" w:after="240" w:line="240" w:lineRule="auto"/>
        <w:ind w:left="0" w:right="0"/>
        <w:jc w:val="left"/>
      </w:pPr>
      <w:r>
        <w:rPr>
          <w:color w:val="000000"/>
          <w:sz w:val="24"/>
          <w:szCs w:val="24"/>
        </w:rPr>
        <w:t xml:space="preserve">I sketched the structure of legislation concerning the appeal process where the seamless legislation could be achieved by modifying deadlines and the explicit possibility of constitutional complaint.</w:t>
      </w:r>
      <w:r>
        <w:rPr>
          <w:color w:val="000000"/>
          <w:sz w:val="24"/>
          <w:szCs w:val="24"/>
        </w:rPr>
        <w:br/>
        <w:t xml:space="preserve">outlined in my opinion, to be followed regulatory structure within the appeal procedures.</w:t>
      </w:r>
    </w:p>
    <w:p>
      <w:pPr>
        <w:widowControl w:val="on"/>
        <w:pBdr/>
        <w:spacing w:before="240" w:after="240" w:line="240" w:lineRule="auto"/>
        <w:ind w:left="0" w:right="0"/>
        <w:jc w:val="left"/>
      </w:pPr>
      <w:r>
        <w:rPr>
          <w:color w:val="000000"/>
          <w:sz w:val="24"/>
          <w:szCs w:val="24"/>
        </w:rPr>
        <w:t xml:space="preserve">The basis of my views are the decisions of the Constitutional Court, and however under the fourth modification of the Constitution of Hungary AB decisions made prior to the entry of the Constitution will be invalid, they will still be applicable as constitutional requirements and as references.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18098">
    <w:multiLevelType w:val="hybridMultilevel"/>
    <w:lvl w:ilvl="0" w:tplc="69074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18098">
    <w:abstractNumId w:val="15518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728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