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BUSA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Deli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norma és az esztétikum kollíziója - a szerzői jog és a színpadi nyilvános előadások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norma és az esztétikum, mint egyenrangú társadalmi alrendszerek lehetséges kollízióit vizsgálja, mindkét oldalt illetően szűkítéssel élve – a jogon belül a szerzői jogra, az esztétikumon belül a színpadi nyilvános előadásokra korlátozza a vizsgálódást.</w:t>
      </w:r>
      <w:r>
        <w:rPr>
          <w:color w:val="000000"/>
          <w:sz w:val="24"/>
          <w:szCs w:val="24"/>
        </w:rPr>
        <w:br/>
        <w:t xml:space="preserve">A norma és az esztétikum; mi történik, ha e két antagonisztikusan ellentétes jelenség kollízióba kerül egymással? Alkalmas-e a norma arra, hogy a szubjektum területére tartozó kérdéseket megítélje? Szükség van-e erre, és ha igen, milyen mértékben? És fordítva: hol vonja meg az esztétikum a határait a joggal szemben?</w:t>
      </w:r>
      <w:r>
        <w:rPr>
          <w:color w:val="000000"/>
          <w:sz w:val="24"/>
          <w:szCs w:val="24"/>
        </w:rPr>
        <w:br/>
        <w:t xml:space="preserve">A jognak elengedhetetlen szerepe van a művészeti élet szabályozásában – azonban a minden részterületre betolakodó szabályozás hátrányos is lehet. Az aurea medioveritas megtalálása az esztétikum jogi szabályozása területén mindenképpen érzékeny kérdés. A művészet területe az, ahol a szubjektív értékítélet lényegi szereppel bír, ahol nem ítélhetők meg a problémák pusztán gazdaságossági, célszerűségi, (jog)szabályossági szempontból. A művészetnek teret kell adni, hogy kibonthassa önnön szárnyait, de szabályokat kell biztosítani, hogy működőképes legyen a rendszer. Egy művészeti intézmény működési feltételeinek jogszabályi körülbástyázása nélkül az intézmény nem is tudna funkcionálni. De ha a funkcionálás ténye már biztosított – szabályozhatjuk-e a hogyant is?</w:t>
      </w:r>
      <w:r>
        <w:rPr>
          <w:color w:val="000000"/>
          <w:sz w:val="24"/>
          <w:szCs w:val="24"/>
        </w:rPr>
        <w:br/>
        <w:t xml:space="preserve">A vázolt kérdéseket egy olyan területen vizsgálja a dolgozat, amely a művészet, a szubjektív értékítélet kiemelt terepe, de amelyben mégis fontos szerepet tölt be a jogi szabályozás – ez nem más, mint a színház és a színpadi megjelenítés.</w:t>
      </w:r>
      <w:r>
        <w:rPr>
          <w:color w:val="000000"/>
          <w:sz w:val="24"/>
          <w:szCs w:val="24"/>
        </w:rPr>
        <w:br/>
        <w:t xml:space="preserve">A tanulmányban egy sor olyan kérdésre-helyzetre keresem a választ és a megoldást, amelyekben a jog (objektum) és a színház (szubjektum) alrendszere kerül kollízióba egymással, majd pedig a „színházi” szerzői jog néhány differentia specificájára térek ki, ideértve a színházra jellemző felhasználási szerződéseket és néhány speciális helyzetű színházi alkotó bemutatását.</w:t>
      </w:r>
      <w:r>
        <w:rPr>
          <w:color w:val="000000"/>
          <w:sz w:val="24"/>
          <w:szCs w:val="24"/>
        </w:rPr>
        <w:br/>
        <w:t xml:space="preserve">A dolgozat központi vizsgálódási tárgyát a norma és esztétikum közötti kollíziók, közelebbről pedig az általam „intern kollíziónak” nevezett jelenségek képezik. A dolgozat az említett összeütközések színházi életből vett példái, valamint egy sor Szerzői Jogi Szakértő Testülettől származó vélemény mentén vezeti végig az olvasót a témán, a végső következtetést már a mottóban előrevetítve: adjunk annyi hatalmat a jognak, amennyi feltétlenül szükséges, és annyi szabadságot a művészetnek, amennyi feltétlenül megilleti.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81065">
    <w:multiLevelType w:val="hybridMultilevel"/>
    <w:lvl w:ilvl="0" w:tplc="864287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81065">
    <w:abstractNumId w:val="62081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80374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