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BUSA</w:t>
            </w:r>
          </w:p>
          <w:p w:rsidR="00C275A3" w:rsidRDefault="00A96AEC" w:rsidP="00C275A3">
            <w:pPr>
              <w:pStyle w:val="Hallgatokepzes"/>
            </w:pPr>
            <w:r>
              <w:t>law</w:t>
            </w:r>
            <w:r>
              <w:br/>
            </w:r>
            <w:r w:rsidR="00E77B23">
              <w:t>Unified, 8.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Deli dr.</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conflict of norm and aesthetics - the relation between copyright law and public stage performances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examines the potential conflicts of norm and aesthetics as equal sub-systems of society. It tightens the examination on both sides – concerning law it only deals with copyright law and concerning aesthetics it deals with public stage performances.</w:t>
      </w:r>
      <w:r>
        <w:rPr>
          <w:color w:val="000000"/>
          <w:sz w:val="24"/>
          <w:szCs w:val="24"/>
        </w:rPr>
        <w:br/>
        <w:t xml:space="preserve">Norm and aesthetics – or the objective and the subjective, as you like. What happens when these two antagonistic phenomenons collide? Is norm appropriate for deciding matters belonging to the terrain of aesthetics? Is there a need to do so? And if the answer is yes, how much of an extent of this is necessary? And inversely – where are the boundaries of aesthetics against norm?</w:t>
      </w:r>
      <w:r>
        <w:rPr>
          <w:color w:val="000000"/>
          <w:sz w:val="24"/>
          <w:szCs w:val="24"/>
        </w:rPr>
        <w:br/>
        <w:t xml:space="preserve">Law is inevitable when it comes to the regulation of art life - although a regulation that intrudes too deep into details can be harmful. Finding aurea medioveritas is a very sensitive matter concerning art. Subjective judgement plays an essential role here and issues of art cannot be judged merely from economic, expedient or regularity aspects. Art needs to be given space to spread its wings but also needs to be given rules to be able to operate. An arts institute wolud not be able to operate without its own rules about operation. But if the fact of functioning is provided by rules – can we regulate the ’how’ too?</w:t>
      </w:r>
      <w:r>
        <w:rPr>
          <w:color w:val="000000"/>
          <w:sz w:val="24"/>
          <w:szCs w:val="24"/>
        </w:rPr>
        <w:br/>
        <w:t xml:space="preserve">This paper examines the concerning matters in an area which is a highlighted terrain of art and subjective judgment but also needs to be given legislation – the theatre and public stage performances.</w:t>
      </w:r>
      <w:r>
        <w:rPr>
          <w:color w:val="000000"/>
          <w:sz w:val="24"/>
          <w:szCs w:val="24"/>
        </w:rPr>
        <w:br/>
        <w:t xml:space="preserve">I seek for the answer for a number of issues in this paper when law (norm) and theatre (aestehetics) collide. Later I dissertate about some differentia specificas of „theatre-copyright law”, including use contracts in theatre and some histrionic creators’ special situations.</w:t>
      </w:r>
      <w:r>
        <w:rPr>
          <w:color w:val="000000"/>
          <w:sz w:val="24"/>
          <w:szCs w:val="24"/>
        </w:rPr>
        <w:br/>
        <w:t xml:space="preserve">The main subject of examination is however the so-called ’intern conflicts’ of norm and aesthetics. The motto of the paper foreshadows the conclusion – provide law as much power as needed and provide art as much freedom as deserved.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80589">
    <w:multiLevelType w:val="hybridMultilevel"/>
    <w:lvl w:ilvl="0" w:tplc="36996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80589">
    <w:abstractNumId w:val="523805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0447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