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HANCZ</w:t>
            </w:r>
          </w:p>
          <w:p w:rsidR="00C275A3" w:rsidRDefault="00A96AEC" w:rsidP="00C275A3">
            <w:pPr>
              <w:pStyle w:val="Hallgatokepzes"/>
            </w:pPr>
            <w:r>
              <w:t>lawyer</w:t>
            </w:r>
            <w:r>
              <w:br/>
            </w:r>
            <w:r w:rsidR="00E77B23">
              <w:t>Unified, 6.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Győry</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scope of the U.S. Foreign Corrupt Practices Act and the issues of regulation of the Hungarian corruption offenses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looks for the answer for that the Hungarian anti-corruption regulation is equal to the international requirements.</w:t>
      </w:r>
    </w:p>
    <w:p>
      <w:pPr>
        <w:widowControl w:val="on"/>
        <w:pBdr/>
        <w:spacing w:before="240" w:after="240" w:line="240" w:lineRule="auto"/>
        <w:ind w:left="0" w:right="0"/>
        <w:jc w:val="left"/>
      </w:pPr>
      <w:r>
        <w:rPr>
          <w:color w:val="000000"/>
          <w:sz w:val="24"/>
          <w:szCs w:val="24"/>
        </w:rPr>
        <w:t xml:space="preserve">The Hungarian Btk. with what kind of fundamental concepts works, and these how much enough to let us be able to take steps against the corruption? To compare, I present the most exemplary law possibly in terms of the legal authority's extent and the usage of the fundamental concepts, namely U.S. Foreign Corrupt Practices Act (FCPA).</w:t>
      </w:r>
    </w:p>
    <w:p>
      <w:pPr>
        <w:widowControl w:val="on"/>
        <w:pBdr/>
        <w:spacing w:before="240" w:after="240" w:line="240" w:lineRule="auto"/>
        <w:ind w:left="0" w:right="0"/>
        <w:jc w:val="left"/>
      </w:pPr>
      <w:r>
        <w:rPr>
          <w:color w:val="000000"/>
          <w:sz w:val="24"/>
          <w:szCs w:val="24"/>
        </w:rPr>
        <w:t xml:space="preserve">The definition ot the corruption turns up tangentially in the study, I present the organ system of the U.S. Department of Justice and the U.S. Securities and Exchange Commission, I also present a corruption legal case which not closed until today, where the above organs made investigation in other states (moreover European countries) area.</w:t>
      </w:r>
    </w:p>
    <w:p>
      <w:pPr>
        <w:widowControl w:val="on"/>
        <w:pBdr/>
        <w:spacing w:before="240" w:after="240" w:line="240" w:lineRule="auto"/>
        <w:ind w:left="0" w:right="0"/>
        <w:jc w:val="left"/>
      </w:pPr>
      <w:r>
        <w:rPr>
          <w:color w:val="000000"/>
          <w:sz w:val="24"/>
          <w:szCs w:val="24"/>
        </w:rPr>
        <w:t xml:space="preserve">Finally, I compare the prominent fundamental concepts from the legal case and from the Hungarian Btk. with basic principles which can be found in the FCPA. Are the Hungarian regulation or the Hungarian organ system bad? We lagged somewhere behind in the development of the anti-corruption fight on the international scene, or maybe we go more forward? The final result speaks for itself.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74450">
    <w:multiLevelType w:val="hybridMultilevel"/>
    <w:lvl w:ilvl="0" w:tplc="73000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74450">
    <w:abstractNumId w:val="19274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930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