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ROLAND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PATAKI MÁRTA</w:t>
            </w:r>
          </w:p>
          <w:p w:rsidR="00DB4822" w:rsidRDefault="00C275A3" w:rsidP="004D7940">
            <w:pPr>
              <w:pStyle w:val="Hallgatokepzes"/>
            </w:pPr>
            <w:r>
              <w:t>jogász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Deák Ferenc Állam- és Jogtudományi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Sulyok Gábor</w:t>
            </w:r>
          </w:p>
          <w:p w:rsidR="00DB4822" w:rsidRDefault="00DB4822" w:rsidP="00E11062">
            <w:pPr>
              <w:pStyle w:val="Konzulensek"/>
            </w:pPr>
            <w:r w:rsidRPr="00DB4822">
              <w:t>habilitált egyetemi docens, SZE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Bartkó Róbert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kibertámadások nemzetközi jogi relevanciája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információs rendszerek nélkülözhetetlen részét képezik az emberi társadalmaknak. E rendszerek segítségével kommunikálunk, ezek működtetik az alapvető szükségleteinket biztosító szolgáltatásokat. E rendszerek az internet révén mára globális hálót képeznek, amely körülöleli Földünket.</w:t>
      </w:r>
      <w:r>
        <w:rPr>
          <w:color w:val="000000"/>
          <w:sz w:val="24"/>
          <w:szCs w:val="24"/>
        </w:rPr>
        <w:br/>
        <w:t xml:space="preserve">A haditechnika folyamatos fejlesztése során is egyre nagyobb területeket hódítottak meg a számítástechnikai rendszerek. Igaz ez az állam működésére és működtetésére is.</w:t>
      </w:r>
      <w:r>
        <w:rPr>
          <w:color w:val="000000"/>
          <w:sz w:val="24"/>
          <w:szCs w:val="24"/>
        </w:rPr>
        <w:br/>
        <w:t xml:space="preserve">Azonban e rendszerek alkalmazása kétirányú képet mutat: egyik a passzív a védekező, az állam működtetését biztosító, a másik az aktív az előző rendszereket támadó, azokat saját céljaira felhasználó infrastruktúrák.</w:t>
      </w:r>
      <w:r>
        <w:rPr>
          <w:color w:val="000000"/>
          <w:sz w:val="24"/>
          <w:szCs w:val="24"/>
        </w:rPr>
        <w:br/>
        <w:t xml:space="preserve">Felmerül kérdésként, hogy ez utóbbi rendszerek által megvalósított támadásokat hogyan kell értékelni nemzetközi jogi értelemben? Tekinthetőek-e olyan fegyveres támadásnak, amelyek aktiválják az államok ENSZ Alapokmány 51. cikke szerinti önvédelmi jogát? Ha igen az milyen mértékű lehet?</w:t>
      </w:r>
      <w:r>
        <w:rPr>
          <w:color w:val="000000"/>
          <w:sz w:val="24"/>
          <w:szCs w:val="24"/>
        </w:rPr>
        <w:br/>
        <w:t xml:space="preserve">Tanulmányunkban-e kérdésekre kívánunk válaszokat adni.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153023">
    <w:multiLevelType w:val="hybridMultilevel"/>
    <w:lvl w:ilvl="0" w:tplc="762052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153023">
    <w:abstractNumId w:val="101530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52560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