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KELEMEN</w:t>
            </w:r>
          </w:p>
          <w:p w:rsidR="00C275A3" w:rsidRDefault="00A96AEC" w:rsidP="00C275A3">
            <w:pPr>
              <w:pStyle w:val="Hallgatokepzes"/>
            </w:pPr>
            <w:r>
              <w:t>jurist</w:t>
            </w:r>
            <w:r>
              <w:br/>
            </w:r>
            <w:r w:rsidR="00E77B23">
              <w:t>Unified, 8.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MÁRTA PATAKI</w:t>
            </w:r>
          </w:p>
          <w:p w:rsidR="00DB4822" w:rsidRDefault="00C275A3" w:rsidP="004D7940">
            <w:pPr>
              <w:pStyle w:val="Hallgatokepzes"/>
            </w:pPr>
            <w:r>
              <w:t>jurist</w:t>
            </w:r>
            <w:r w:rsidR="00A96AEC">
              <w:br/>
              <w:t>Unified, 10.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Deák Ferenc Faculty of Law and Political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Sulyok</w:t>
            </w:r>
          </w:p>
          <w:p w:rsidR="00DB4822" w:rsidRDefault="00DB4822" w:rsidP="00E11062">
            <w:pPr>
              <w:pStyle w:val="Konzulensek"/>
            </w:pPr>
            <w:r w:rsidRPr="00DB4822">
              <w:t>associate professor, SZE ÁJK</w:t>
            </w:r>
          </w:p>
        </w:tc>
      </w:tr>
      <w:tr w:rsidR="00DB4822" w:rsidTr="00DB4822">
        <w:tc>
          <w:tcPr>
            <w:tcW w:w="9854" w:type="dxa"/>
          </w:tcPr>
          <w:p w:rsidR="00DB4822" w:rsidRPr="00DB4822" w:rsidRDefault="00DB4822" w:rsidP="004D7940">
            <w:pPr>
              <w:pStyle w:val="Konzulensek"/>
            </w:pPr>
            <w:r w:rsidRPr="00DB4822">
              <w:t>Róbert Bartkó</w:t>
            </w:r>
          </w:p>
          <w:p w:rsidR="00DB4822" w:rsidRDefault="00DB4822" w:rsidP="00E11062">
            <w:pPr>
              <w:pStyle w:val="Konzulensek"/>
            </w:pPr>
            <w:r w:rsidRPr="00DB4822">
              <w:t>assistant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international legal relevance of cyber attacks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information technology systems are essential parts of human societies. These systems are responsible for communication and they operate the services ensure our basic needs.</w:t>
      </w:r>
      <w:r>
        <w:rPr>
          <w:color w:val="000000"/>
          <w:sz w:val="24"/>
          <w:szCs w:val="24"/>
        </w:rPr>
        <w:br/>
        <w:t xml:space="preserve">For now, these systems are forming a global network through Internet which surrounds our planet.</w:t>
      </w:r>
    </w:p>
    <w:p>
      <w:pPr>
        <w:widowControl w:val="on"/>
        <w:pBdr/>
        <w:spacing w:before="240" w:after="240" w:line="240" w:lineRule="auto"/>
        <w:ind w:left="0" w:right="0"/>
        <w:jc w:val="left"/>
      </w:pPr>
      <w:r>
        <w:rPr>
          <w:color w:val="000000"/>
          <w:sz w:val="24"/>
          <w:szCs w:val="24"/>
        </w:rPr>
        <w:t xml:space="preserve">During the continuous development of military technology these IT systems had conquered bigger and bigger areas. It is also valid for the operation and operating of the government.</w:t>
      </w:r>
      <w:r>
        <w:rPr>
          <w:color w:val="000000"/>
          <w:sz w:val="24"/>
          <w:szCs w:val="24"/>
        </w:rPr>
        <w:br/>
        <w:t xml:space="preserve">However the utilization of these systems are showing a bidirectional image: one of the is the passive which ensures the operation of the state, and the other is the active infrastructures which are entitled to attack the previous systems and wants to use them for their own purpose.</w:t>
      </w:r>
    </w:p>
    <w:p>
      <w:pPr>
        <w:widowControl w:val="on"/>
        <w:pBdr/>
        <w:spacing w:before="240" w:after="240" w:line="240" w:lineRule="auto"/>
        <w:ind w:left="0" w:right="0"/>
        <w:jc w:val="left"/>
      </w:pPr>
      <w:r>
        <w:rPr>
          <w:color w:val="000000"/>
          <w:sz w:val="24"/>
          <w:szCs w:val="24"/>
        </w:rPr>
        <w:t xml:space="preserve">The following question emerges that the attacks performed by these latter systems how should be evaluated according to international legal aspects? Could we consider them such an armed attack which activates the right of self-defence based on the 51h Article of the United Nations Charter? If the answer is yes, what is the legal extent of it?</w:t>
      </w:r>
      <w:r>
        <w:rPr>
          <w:color w:val="000000"/>
          <w:sz w:val="24"/>
          <w:szCs w:val="24"/>
        </w:rPr>
        <w:br/>
        <w:t xml:space="preserve">In our essay we want to find the answers for this questions.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59102">
    <w:multiLevelType w:val="hybridMultilevel"/>
    <w:lvl w:ilvl="0" w:tplc="94953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59102">
    <w:abstractNumId w:val="606591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82515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