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LÁSZLÓ TÓTH</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Cecília Szigeti</w:t>
            </w:r>
          </w:p>
          <w:p w:rsidR="00DB4822" w:rsidRDefault="00DB4822" w:rsidP="00E11062">
            <w:pPr>
              <w:pStyle w:val="Konzulensek"/>
            </w:pPr>
            <w:r w:rsidRPr="00DB4822">
              <w:t>reader in university,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ecological footprint of GazMag online magazine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GazMag; ecological footprint; sustainable developement</w:t>
      </w:r>
      <w:r>
        <w:t xml:space="preserve"/>
      </w:r>
    </w:p>
    <w:p>
      <w:pPr>
        <w:widowControl w:val="on"/>
        <w:pBdr/>
        <w:spacing w:before="240" w:after="240" w:line="240" w:lineRule="auto"/>
        <w:ind w:left="0" w:right="0"/>
        <w:jc w:val="left"/>
      </w:pPr>
      <w:r>
        <w:rPr>
          <w:color w:val="000000"/>
          <w:sz w:val="24"/>
          <w:szCs w:val="24"/>
        </w:rPr>
        <w:t xml:space="preserve">The GazMag is a monthly online published magazine. It's a free journal. The main topics are economy and sustainable development, but you can find several other topics in articles.</w:t>
      </w:r>
      <w:r>
        <w:rPr>
          <w:color w:val="000000"/>
          <w:sz w:val="24"/>
          <w:szCs w:val="24"/>
        </w:rPr>
        <w:br/>
        <w:t xml:space="preserve">GazMag was founded in Győr in 2011, but nowdays this is a nearly national magazin. Most of our journalists are young experts and university students. The operation of this magazin is non-profit.</w:t>
      </w:r>
      <w:r>
        <w:rPr>
          <w:color w:val="000000"/>
          <w:sz w:val="24"/>
          <w:szCs w:val="24"/>
        </w:rPr>
        <w:br/>
        <w:t xml:space="preserve">I choose this topic, because I am one of the founders and I am the editor in chief of GazMag. In this research I calculated the GazMag’s economical footprint. Firts time in 2012, and then in 2013. In my opinion there is important, to calculate this indicator, because we can monitoring the changes. Of course when I will participate the OTDK conference I will know the GazMag’s ecological footprint for 2014 too.</w:t>
      </w:r>
      <w:r>
        <w:rPr>
          <w:color w:val="000000"/>
          <w:sz w:val="24"/>
          <w:szCs w:val="24"/>
        </w:rPr>
        <w:br/>
        <w:t xml:space="preserve">This research contains an extra chapter. I asked the readers and the Facebook-likers about this topic. I asked them about the sustainable developement, and I asked to make a tip how much is the ecological footprint of GazMag.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19472">
    <w:multiLevelType w:val="hybridMultilevel"/>
    <w:lvl w:ilvl="0" w:tplc="17874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19472">
    <w:abstractNumId w:val="59819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561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