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SZENDERÁK JÁNOS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Harangi-Rákos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méretkategóriájú tejtermelő gazdaságok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állattenyésztés bruttó kibocsátásának csökkenése 2011-ben megállt, de a legtöbb ágazat, így a tejtermelés jövőbeli alakulása is kérdéses. A hazai tejágazatban évek óta kedvezőtlen gazdasági folyamatok figyelhetők meg, a globális kihívások pedig erősödnek. A tejkvóta rendszert 2015-ben eltörlik az EU-ban. Új szabályozási környezetbe kerülnek azok a gazdasági szereplők, akik 30 éve a kvótarendszerben élnek. Habár egyre több vélemény erősíti meg azt az álláspontot, miszerint a kvóta megszüntetésének nem lesz jelentős hatása uniós szinten, a tagországokban mégis erősen befolyásolhatja a termelés alakulását. A termelés áthelyezése már elkezdődött Európában az alacsonyabb termelési költségű régiók irányába. Fontos, hogy olyan gazdaságok jöjjenek létre, amelyek képesek csökkenteni a termelési költségeiket, így versenyképesek tudnak maradni a nemzetközi piacon.</w:t>
      </w:r>
      <w:r>
        <w:rPr>
          <w:color w:val="000000"/>
          <w:sz w:val="24"/>
          <w:szCs w:val="24"/>
        </w:rPr>
        <w:br/>
        <w:t xml:space="preserve">Szakmai viták folynak arról, hogy mekkora az ideális telepméret a tejágazatban. Az International Farm Comparison Network (IFCN) vizsgálatai alapján a tipikus állományméret széles skálán mozog. Egyes tejtermelő gazdaságok néhány egyedet, míg főként a fejlett országok gazdaságai átlagban több száz egyedet tartanak. Vizsgálataimban a tejágazat globális és hazai helyzetének ok-okozati vizsgálatát követően, eltérő nagyságú tejtermelő telepek összehasonlítását végeztem el. Vizsgálataim középpontjában három nagy tejtermelő telep (600 – 1 700 – 3 000 tehén) gazdasági elemzése állt. Az adatokat az Agrárgazdasági Kutató Intézet (AKI) Tesztüzemi Rendszerének Ágazati Kérdőíve szerint rendszereztem a fajlagos adatok összehasonlítása érdekében. Ebből kiderül, hogy az egyes termelési fázisok költség- és jövedelemalakulása összefüggést mutat-e az állomány méretével.</w:t>
      </w:r>
      <w:r>
        <w:rPr>
          <w:color w:val="000000"/>
          <w:sz w:val="24"/>
          <w:szCs w:val="24"/>
        </w:rPr>
        <w:br/>
        <w:t xml:space="preserve">A gazdaságok vizsgálatakor megállapítottam, hogy a takarmányköltségek aránya magas az anyagköltségeken belül. Ennek mértéke jelentősen csökkent ott, ahol rendszeres legeltetésre volt lehetőség. A gazdaságok esetében nem lehet egyértelműen kijelenteni, hogy a kisebb állomány kedvezőtlenebbül hatott volna a nyereségre. Erős befolyásoló szereppel bírnak a gazdaságok specifikus tényezői (takarmányozás technológia, legeltetés lehetősége, állategészségügyi tényezők). A vizsgálat egyik alapvető eredménye, hogy a kevésbé korszerű, de jól menedzselt tartástechnológiával is nyereséges gazdálkodást lehet folytatni.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05552">
    <w:multiLevelType w:val="hybridMultilevel"/>
    <w:lvl w:ilvl="0" w:tplc="83235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05552">
    <w:abstractNumId w:val="79005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632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