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SZENDERÁK</w:t>
            </w:r>
          </w:p>
          <w:p w:rsidR="00C275A3" w:rsidRDefault="00A96AEC" w:rsidP="00C275A3">
            <w:pPr>
              <w:pStyle w:val="Hallgatokepzes"/>
            </w:pPr>
            <w:r>
              <w:t>Rural Development Engineering</w:t>
            </w:r>
            <w:r>
              <w:br/>
            </w:r>
            <w:r w:rsidR="00E77B23">
              <w:t>MSc, 5.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Mónika Harangi-Rákos, PhD</w:t>
            </w:r>
          </w:p>
          <w:p w:rsidR="00DB4822" w:rsidRDefault="00DB4822" w:rsidP="009763E0">
            <w:pPr>
              <w:pStyle w:val="Konzulensektitulus"/>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dairy farms at different scales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decline of gross output of animal husbandry has come to a halt at 2011 but the outlook of the agricultural sectors is still questionable. There have been unfavorable conditions in the dairy sector for years while global challenges are increasing. The EU’s milk quota system will be phased out in 2015. The abolition of milk quota will create a new economic environment for the stakeholders of the dairy supply chain. According to several experts the phasing out of the milk quota will not have significant effect on the dairy sector at the level of the European Union but much more among Member States. The milk production has shifted towards to the regions with lower production cost in the European Union.</w:t>
      </w:r>
      <w:r>
        <w:rPr>
          <w:color w:val="000000"/>
          <w:sz w:val="24"/>
          <w:szCs w:val="24"/>
        </w:rPr>
        <w:br/>
        <w:t xml:space="preserve">It is important to establish dairy farms that can decrease production cost in order to maintain international competitiveness. There are many professional debates about the ideal size of dairy farms. Based on the data of the International Farm Comparison Network (IFCN) the typical farm sizes vary widely. Some of the dairy farms keep just a few heads of animals, while the majority of the farms, especially in developed countries keep hundreds of cows. In my paper I made a comparison analysis of the global and domestic dairy at different farm scales (600 – 1 700 – 3 000 cows). For data collection I used the questionnaire of the Research Institute of Agricultural Economics in order to make them comparable. I analyzed the correlation between the cost and income structure based on the different herd size.</w:t>
      </w:r>
      <w:r>
        <w:rPr>
          <w:color w:val="000000"/>
          <w:sz w:val="24"/>
          <w:szCs w:val="24"/>
        </w:rPr>
        <w:br/>
        <w:t xml:space="preserve">It can be concluded that the ratio of feed cost is high in the cost structure but even periodical grazing could contribute to decrease production cost. A smaller herd doesn’t affect the profit negatively. The specific factors of dairy farms have important roles (feeding technology, possibility of grazing, animal health issues). Basic result of the analysis show that dairy farming can be profitable with less advanced but well managed breeding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59789">
    <w:multiLevelType w:val="hybridMultilevel"/>
    <w:lvl w:ilvl="0" w:tplc="38056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59789">
    <w:abstractNumId w:val="83459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266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