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SEPSI BARBARA</w:t>
            </w:r>
          </w:p>
          <w:p w:rsidR="00C275A3" w:rsidRDefault="00A96AEC" w:rsidP="00C275A3">
            <w:pPr>
              <w:pStyle w:val="Hallgatokepzes"/>
            </w:pPr>
            <w:r>
              <w:t>Számvitel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Fenyves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Késedelmes devizában denominált vállalati hitelek és azok megoldási altenatíváinak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Növekedési Hitelprogram; késedelmes vállalati hitelek; rögzített árfolyam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vállalati szektor pénzügyi stabilitását és növekedési lehetőségeit jelentősen befolyásolta a külföldi és hazai devizában denominált hitelek megnövekedett törlesztőrészlete. A késedelemmel rendelkező deviza alapú hiteladósok problémájának megoldása szükségszerű, mert ha tovább romlik a hitelportfólió minősége, az hatással van hazánk nemzetközi megítélésére, ami közvetetten megjelenik a CDS-felárak növekedésében és további költségnövekedéseket prognosztizál a hitelintézeteknek, amit azok továbbterhelhetnek a vállalati szektorra, mely a vállalati szektor gazdasági eredményeit rontja. Vállalati forint, euró és svájci frank alapú hitelek jellemzőit hasonlítom össze. A reálisabb kép érdekében egy optimista és egy pesszimista árfolyamszint jelenik meg modellezéseim során. A Növekedési Hitelprogramot vizsgálom 5 és 10 éves futamidők mellett mindhárom konstrukció esetében. Célom, hogy megállapítsam érdemes-e igénybe venni ezt a lehetőséget, és ha igen, akkor milyen futamidő mellett, mekkora megtakarítás realizálható.</w:t>
      </w:r>
      <w:r>
        <w:rPr>
          <w:color w:val="000000"/>
          <w:sz w:val="24"/>
          <w:szCs w:val="24"/>
        </w:rPr>
        <w:br/>
        <w:t xml:space="preserve">Ingatlanvásárlási-, ingatlanfejlesztési- és az egyéb projekthitelek közül a 90 napon túl nem fizető hitelek aránya 24% - minden negyedik hitel nemteljesítő kategóriába tartozik. A vizsgált szektorok hitelei közel 75%-a euróban denominált. Ezért vizsgáltam az euró alapú hiteleket egy általam módosított árfolyamgátra alapuló kondíció szerint. A „módosított árfolyamgát” során 2 éves rögzített időszak vehető igénybe, majd a rögzített időszakban felhalmozott tőkekülönbözettel növelt fennálló tőketartozást forintra váltás után forinthitelként törleszthetik az adósok 5 éves futamidővel. A havi költségmegtakarítás mellett tovább növeli a vállalat rendelkezésére álló pénzösszegét az árfolyamkockázatra képzett céltartalék feloldása. Az árfolyamkockázat megszűntetése a vállalat és a bank esetében is kedvező, hiszen az utóbbi időszakban inkább a pesszimista modell aktuális.</w:t>
      </w:r>
      <w:r>
        <w:rPr>
          <w:color w:val="000000"/>
          <w:sz w:val="24"/>
          <w:szCs w:val="24"/>
        </w:rPr>
        <w:br/>
        <w:t xml:space="preserve">Bármely program igénybevétele során, pontos törlesztést követően az adósok jobb adósminősítési kategóriába kerülhetnek, miszerint 2 év után mérsékelhető vagy megszűntethető az értékvesztés és a képzett céltartalék, mely bevétellel járna a hitelintézetek számára. Ezen felül egy jobb minőségű portfólió jobb megítélést biztosít, mely olcsóbb finanszírozáshoz vezetne így tőkeerősebbé válnának a hitelintézetek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143113">
    <w:multiLevelType w:val="hybridMultilevel"/>
    <w:lvl w:ilvl="0" w:tplc="53858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143113">
    <w:abstractNumId w:val="351431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80941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