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SEPSI</w:t>
            </w:r>
          </w:p>
          <w:p w:rsidR="00C275A3" w:rsidRDefault="00A96AEC" w:rsidP="00C275A3">
            <w:pPr>
              <w:pStyle w:val="Hallgatokepzes"/>
            </w:pPr>
            <w:r>
              <w:t>Accountancy</w:t>
            </w:r>
            <w:r>
              <w:br/>
            </w:r>
            <w:r w:rsidR="00E77B23">
              <w:t>MA, 5.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Fenyves PhD</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deferred corporate forex loans and their alternative solutions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Funding for Growth Scheme; deferred corporate loans; fixed foreign exchange</w:t>
      </w:r>
      <w:r>
        <w:t xml:space="preserve"/>
      </w:r>
    </w:p>
    <w:p>
      <w:pPr>
        <w:widowControl w:val="on"/>
        <w:pBdr/>
        <w:spacing w:before="240" w:after="240" w:line="240" w:lineRule="auto"/>
        <w:ind w:left="0" w:right="0"/>
        <w:jc w:val="left"/>
      </w:pPr>
      <w:r>
        <w:rPr>
          <w:color w:val="000000"/>
          <w:sz w:val="24"/>
          <w:szCs w:val="24"/>
        </w:rPr>
        <w:t xml:space="preserve">The increased instalments of corporate credits denominated in foreign or domestic currency significantly influenced the financial stability and growing opportunities of the corporate sector. It is necessary to solve the problem of defaulted debtors, because if the portfolio is continuously deteriorating, then it would have a negative effect on Hungary’s external judgement, which is reflected in the rise of the CDS-spreads. This forecasts additional costs for the lending institutions, which they transfer to the debtors deteriorating their economic performance. This paper compares the characteristics of corporate Hungarian Forint, Euro and Swiss Franc based loans. In order to reach fair results I applied an optimistic and a pessimistic exchange rate during my analysis. “Funding for Growth Scheme” is tested with durations of 5 and 10 years in case of all the three mentioned conditions. I am aiming to find out whether it is worth taking this opportunity; and if yes, how much money can be saved by the different durations? Out of project loans for real estate purchasing, property development and other purposes 24% is overdue more than 90 days – every fourth loan is non-performing. 75% of the examined sectors’ loans are denominated in Euro. Therefore, I tested the euro based loans by a personally developed “modified exchange limit”. The modified exchange limit contains a 2 year long period calculated with fix exchange rates, afterwards the principal outstanding increased with the cumulated capital difference, which is converted into a 5 year HUF loan. Besides the monthly cost savings, the company could increase the available cash with reversals of provisions for foreign exchange rate risk. It is beneficial for both the banks and the debtors to get rid of the foreign exchange risk, because lately rather the pessimistic scenario is characteristic. After two years of punctual repayments, the debtors could be rated more favourably regardless of the method of payment. This way the impairment loss of banks could be ceased and provision could ba also reversed, which means an revenue for the bank. Moreover a better portfolio provides a better external judgement leading to cheaper financing, so banks could become well-financed again.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98650">
    <w:multiLevelType w:val="hybridMultilevel"/>
    <w:lvl w:ilvl="0" w:tplc="99918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98650">
    <w:abstractNumId w:val="487986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49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