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gif" ContentType="image/gi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MÁTÉ GERGELY</w:t>
            </w:r>
          </w:p>
          <w:p w:rsidR="00C275A3" w:rsidRDefault="00A96AEC" w:rsidP="00C275A3">
            <w:pPr>
              <w:pStyle w:val="Hallgatokepzes"/>
            </w:pPr>
            <w:r>
              <w:t>Chemistry</w:t>
            </w:r>
            <w:r>
              <w:br/>
            </w:r>
            <w:r w:rsidR="00E77B23">
              <w:t>MSc, 4.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László Kollár</w:t>
            </w:r>
          </w:p>
          <w:p w:rsidR="00DB4822" w:rsidRDefault="00DB4822" w:rsidP="00BA6BAF">
            <w:pPr>
              <w:pStyle w:val="Konzulensektitulus"/>
            </w:pPr>
            <w:r w:rsidRPr="00DB4822">
              <w:t>professor,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Synthesis of N-picolylcarboxamides with biological importance in aminocarbonylation as a key-reaction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picolylamine; iodoalkene; iodoaromatics; carboxamide; palladium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 are several important reactions, among them name-marked ones, regarding the synthesis of carboxamides [1,2]. It is due to the fact that amides can be considered as key-compounds of living organism. Furthermore, the biological importance of amide functionality is also well-known.</w:t>
      </w:r>
      <w:r>
        <w:rPr>
          <w:color w:val="000000"/>
          <w:sz w:val="24"/>
          <w:szCs w:val="24"/>
        </w:rPr>
        <w:br/>
        <w:t xml:space="preserve">The importance of the highly selective homogeneous catalytic reactions has been steadily increasing in the past decades. In this way, it is not surprising that several transition metal-catalysed reactions are known for the synthesis of amides [3,4].</w:t>
      </w:r>
      <w:r>
        <w:rPr>
          <w:color w:val="000000"/>
          <w:sz w:val="24"/>
          <w:szCs w:val="24"/>
        </w:rPr>
        <w:br/>
        <w:t xml:space="preserve">A number of compounds of pharmacological importance such as Picotamide, Tropicamide containing N-picolylcarboxamide moieties are known. New synthesis strategies including transition metal-catalysed reactions can be applied for the synthesis of these compounds.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5846400" cy="1836000"/>
            <wp:docPr id="47563142" name="name15503ca726eb78" descr="imgtmp_28719_int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8719_int_1.gif"/>
                    <pic:cNvPicPr/>
                  </pic:nvPicPr>
                  <pic:blipFill>
                    <a:blip r:embed="rId15503ca726eb1b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46400" cy="1836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above retrosynthetic approach for Tropicamide encouraged me to apply homogeneous catalytic aminocarbonylation for the synthesis of N-picolylcarboxamides.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this work, the synthesis of N-picolylcarboxamides of biological importance has been investigated using alpha-iodostyrene and primary and secondary amines possessing picolyl substituent. The palladium-catalysed aminocarbonylation reaction proved to be highly chemoselective.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position w:val="-4"/>
          <w:sz w:val="21"/>
          <w:szCs w:val="21"/>
          <w:vertAlign w:val="subscript"/>
        </w:rPr>
        <w:t xml:space="preserve">[1] K. W. Blessel, B. C. Rudy, B. Z. Senkowski, Profiles of Drug Substances, Excipients and Related Methodology in Tropicamide (Vol. 3), K. Florey (Eds.), Academic Press, New York, 1974, pp. 565-580.</w:t>
      </w:r>
      <w:r>
        <w:rPr>
          <w:color w:val="000000"/>
          <w:position w:val="-4"/>
          <w:sz w:val="21"/>
          <w:szCs w:val="21"/>
          <w:vertAlign w:val="subscript"/>
        </w:rPr>
        <w:br/>
        <w:t xml:space="preserve">[2] J. S. Yadav, B. V. Subba Reddy, U. V. Subba Reddy, K. Praneeth, Tetrahedron Lett., 2008, 49, 4742.</w:t>
      </w:r>
      <w:r>
        <w:rPr>
          <w:color w:val="000000"/>
          <w:position w:val="-4"/>
          <w:sz w:val="21"/>
          <w:szCs w:val="21"/>
          <w:vertAlign w:val="subscript"/>
        </w:rPr>
        <w:br/>
        <w:t xml:space="preserve">[3] A. J. A. Watson, A. C. Maxwell, J. M. J. Williams, Org. Lett., 2009, 11, 2667.</w:t>
      </w:r>
      <w:r>
        <w:rPr>
          <w:color w:val="000000"/>
          <w:position w:val="-4"/>
          <w:sz w:val="21"/>
          <w:szCs w:val="21"/>
          <w:vertAlign w:val="subscript"/>
        </w:rPr>
        <w:br/>
        <w:t xml:space="preserve">[4] E. Müller, G. Péczely, R. Skoda-Földes, E. Takács, G. Kokotos, E. Bellis, L. Kollár, Tetrahedron, 2005, 61, 797.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129171">
    <w:multiLevelType w:val="hybridMultilevel"/>
    <w:lvl w:ilvl="0" w:tplc="294224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129171">
    <w:abstractNumId w:val="8812917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0812683" Type="http://schemas.openxmlformats.org/officeDocument/2006/relationships/numbering" Target="numbering.xml"/><Relationship Id="rId15503ca726eb1b" Type="http://schemas.openxmlformats.org/officeDocument/2006/relationships/image" Target="media/imgrId15503ca726eb1b.gif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