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BAREITH</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Koroseczné Pavlin</w:t>
            </w:r>
          </w:p>
          <w:p w:rsidR="00DB4822" w:rsidRDefault="00DB4822" w:rsidP="00E11062">
            <w:pPr>
              <w:pStyle w:val="Konzulensek"/>
            </w:pPr>
            <w:r w:rsidRPr="00DB4822">
              <w:t>PhD student, KE GTK</w:t>
            </w:r>
          </w:p>
        </w:tc>
      </w:tr>
      <w:tr w:rsidR="00DB4822" w:rsidTr="00DB4822">
        <w:tc>
          <w:tcPr>
            <w:tcW w:w="9854" w:type="dxa"/>
          </w:tcPr>
          <w:p w:rsidR="00DB4822" w:rsidRPr="00DB4822" w:rsidRDefault="00DB4822" w:rsidP="004D7940">
            <w:pPr>
              <w:pStyle w:val="Konzulensek"/>
            </w:pPr>
            <w:r w:rsidRPr="00DB4822">
              <w:t>Dr. György Kövér</w:t>
            </w:r>
          </w:p>
          <w:p w:rsidR="00DB4822" w:rsidRDefault="00DB4822" w:rsidP="00E11062">
            <w:pPr>
              <w:pStyle w:val="Konzulensek"/>
            </w:pPr>
            <w:r w:rsidRPr="00DB4822">
              <w:t>associate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liquidation predictabilty with data mining classification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liquidation, data minig, neural network</w:t>
      </w:r>
      <w:r>
        <w:t xml:space="preserve"/>
      </w:r>
    </w:p>
    <w:p>
      <w:pPr>
        <w:widowControl w:val="on"/>
        <w:pBdr/>
        <w:spacing w:before="240" w:after="240" w:line="240" w:lineRule="auto"/>
        <w:ind w:left="0" w:right="0"/>
        <w:jc w:val="left"/>
      </w:pPr>
      <w:r>
        <w:rPr>
          <w:color w:val="000000"/>
          <w:sz w:val="24"/>
          <w:szCs w:val="24"/>
        </w:rPr>
        <w:t xml:space="preserve">This study aims to explore the predictability of liquidation among the enterprises located in the Southern Transdanubia, Central Transdanubia and Western Transdanubia Region. Due to the lack of legal environment – the Bankruptcy Act has been codified in 1991 – the available domestic publications are from a few years back. The data mining appeared as a new methodology in bankruptcy modelling in foreign research work since 1980s.</w:t>
      </w:r>
      <w:r>
        <w:rPr>
          <w:color w:val="000000"/>
          <w:sz w:val="24"/>
          <w:szCs w:val="24"/>
        </w:rPr>
        <w:br/>
        <w:t xml:space="preserve">The dataset analysed in this paper consists of the companies’ financial statements and the profit and loss statements in the period from 2002 until 2012. Next to the original traits several other financial indicators have been derived from the dataset fields to help the classification process of the enterprises. Since the 2008 global economic crisis obviously had a major impact to the Hungarian private sector, so the study also examines the common and different characteristics of the two periods.</w:t>
      </w:r>
      <w:r>
        <w:rPr>
          <w:color w:val="000000"/>
          <w:sz w:val="24"/>
          <w:szCs w:val="24"/>
        </w:rPr>
        <w:br/>
        <w:t xml:space="preserve">In this paper, the dataset has been analysed using a popular data mining technique. Neural network models have been created to predict the liquidations of the companies in interest.</w:t>
      </w:r>
      <w:r>
        <w:rPr>
          <w:color w:val="000000"/>
          <w:sz w:val="24"/>
          <w:szCs w:val="24"/>
        </w:rPr>
        <w:br/>
        <w:t xml:space="preserve">The models resulted by the study might be useful to draw the attention of the executives of the three Transdanubia Region companies to a forthcoming winding up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71584">
    <w:multiLevelType w:val="hybridMultilevel"/>
    <w:lvl w:ilvl="0" w:tplc="55736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71584">
    <w:abstractNumId w:val="55571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984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