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NAGY</w:t>
            </w:r>
          </w:p>
          <w:p w:rsidR="00C275A3" w:rsidRDefault="00A96AEC" w:rsidP="00C275A3">
            <w:pPr>
              <w:pStyle w:val="Hallgatokepzes"/>
            </w:pPr>
            <w:r>
              <w:t>Mechanical Engineering</w:t>
            </w:r>
            <w:r>
              <w:br/>
            </w:r>
            <w:r w:rsidR="00E77B23">
              <w:t>BSc, 5.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Árpad Czifra</w:t>
            </w:r>
          </w:p>
          <w:p w:rsidR="00DB4822" w:rsidRDefault="00DB4822" w:rsidP="00E11062">
            <w:pPr>
              <w:pStyle w:val="Konzulensek"/>
            </w:pPr>
            <w:r w:rsidRPr="00DB4822">
              <w:t>associate 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surface finishing technologies on surface roughness of automotive machine parts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thesis examines the effects of finishing methods for several automotive parts in terms of the surface quality of the part. The studies were made on behalf of an automotive parts’ manufacturer in 2013 in order to optimize the manufacturing process. For five types of manufacturing there were a total of 100 parts available for measurement, 20 for each manufacturing type.</w:t>
      </w:r>
    </w:p>
    <w:p>
      <w:pPr>
        <w:widowControl w:val="on"/>
        <w:pBdr/>
        <w:spacing w:before="240" w:after="240" w:line="240" w:lineRule="auto"/>
        <w:ind w:left="0" w:right="0"/>
        <w:jc w:val="left"/>
      </w:pPr>
      <w:r>
        <w:rPr>
          <w:color w:val="000000"/>
          <w:sz w:val="24"/>
          <w:szCs w:val="24"/>
        </w:rPr>
        <w:br/>
        <w:t xml:space="preserve">In the introductory section, background and significance of the measurement is described. It continues with further describing of the roughness parameters for an easier understanding of the thesis. Subsequently, the results of the tests are evaluated, processed, and illustrated with diagrams. A Hungarian automotive supplier provided the components. The results are considered confidential information for the company, therefore names of the stages name will appear with a modified name.</w:t>
      </w:r>
    </w:p>
    <w:p>
      <w:pPr>
        <w:widowControl w:val="on"/>
        <w:pBdr/>
        <w:spacing w:before="240" w:after="240" w:line="240" w:lineRule="auto"/>
        <w:ind w:left="0" w:right="0"/>
        <w:jc w:val="left"/>
      </w:pPr>
      <w:r>
        <w:rPr>
          <w:color w:val="000000"/>
          <w:sz w:val="24"/>
          <w:szCs w:val="24"/>
        </w:rPr>
        <w:br/>
        <w:t xml:space="preserve">Components used for the measurements were made with a special powder metallurgy technology, followed by a custom-shaping, and a surface modification process. These are marked with “A”, “B”, and “C” in this particular order. The latter category appears in three sections. "C1" and "C2" are different fine machining processes, while “'C1 + 2” is a combination of these. This makes up a total of five categories.</w:t>
      </w:r>
    </w:p>
    <w:p>
      <w:pPr>
        <w:widowControl w:val="on"/>
        <w:pBdr/>
        <w:spacing w:before="240" w:after="240" w:line="240" w:lineRule="auto"/>
        <w:ind w:left="0" w:right="0"/>
        <w:jc w:val="left"/>
      </w:pPr>
      <w:r>
        <w:rPr>
          <w:color w:val="000000"/>
          <w:sz w:val="24"/>
          <w:szCs w:val="24"/>
        </w:rPr>
        <w:br/>
        <w:t xml:space="preserve">3-3 a standard roughness measurement was carried out on the part which has both cylindrical and flat surfaces. Three measurements were carried out on the two surfaces of one part in each of the categories, with 20 parts each, which resulted a total of 600 measuring roughness profile. The measurements were made with a Mahr type roughness measuring device. M and motif roughness and waviness parameters were added. This thesis aims to answer three technological issues, which are detailed in this thesis.</w:t>
      </w:r>
    </w:p>
    <w:p>
      <w:pPr>
        <w:widowControl w:val="on"/>
        <w:pBdr/>
        <w:spacing w:before="240" w:after="240" w:line="240" w:lineRule="auto"/>
        <w:ind w:left="0" w:right="0"/>
        <w:jc w:val="left"/>
      </w:pPr>
      <w:r>
        <w:rPr>
          <w:color w:val="000000"/>
          <w:sz w:val="24"/>
          <w:szCs w:val="24"/>
        </w:rPr>
        <w:br/>
        <w:t xml:space="preserve">The concluding part includes the answers for these questions with recommendations for the future, and potential opportunities for further research on the subject.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742344">
    <w:multiLevelType w:val="hybridMultilevel"/>
    <w:lvl w:ilvl="0" w:tplc="863241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742344">
    <w:abstractNumId w:val="767423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66111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