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LAURINYECZ ANITA</w:t>
            </w:r>
          </w:p>
          <w:p w:rsidR="00C275A3" w:rsidRDefault="00A96AEC" w:rsidP="00C275A3">
            <w:pPr>
              <w:pStyle w:val="Hallgatokepzes"/>
            </w:pPr>
            <w:r>
              <w:t>Ipari termék- és formatervező mérnök</w:t>
            </w:r>
            <w:r>
              <w:br/>
            </w:r>
            <w:r w:rsidR="00E77B23">
              <w:t>BSc, 4. félév</w:t>
            </w:r>
          </w:p>
          <w:p w:rsidR="00C265CE" w:rsidRPr="009E5FF1" w:rsidRDefault="00E77B23" w:rsidP="009763E0">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Kisfaludy Márta Dla habil.</w:t>
            </w:r>
          </w:p>
          <w:p w:rsidR="00DB4822" w:rsidRDefault="00DB4822" w:rsidP="009763E0">
            <w:pPr>
              <w:pStyle w:val="Konzulensektitulus"/>
            </w:pPr>
            <w:r w:rsidRPr="00DB4822">
              <w:t>egyetemi docens,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Pszichológiai vonatkozások a formatervezésben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TDK dolgozat fő témája a pszichológia vonatkozásainak alkalmazhatósága formatervezés során. A design és a pszichológia kapcsolatrendszere gazdag, ennek megismerési lehetőségei rendkívül változatosak, mivel a művészetpszichológia szerves részét képezi, így mélyebb megismerése igen fontos a jövő formatervezői számára is.</w:t>
      </w:r>
    </w:p>
    <w:p>
      <w:pPr>
        <w:widowControl w:val="on"/>
        <w:pBdr/>
        <w:spacing w:before="240" w:after="240" w:line="240" w:lineRule="auto"/>
        <w:ind w:left="0" w:right="0"/>
        <w:jc w:val="left"/>
      </w:pPr>
      <w:r>
        <w:rPr>
          <w:color w:val="000000"/>
          <w:sz w:val="24"/>
          <w:szCs w:val="24"/>
        </w:rPr>
        <w:t xml:space="preserve">A bevezetés főként a dolgozat célkitűzéseiről, a dolgozat során használt kulcsfogalmak szakirodalmi megfogalmazásaiból áll, mint például „design”, „kognitív pszichológia”, „kísérleti esztétika”.</w:t>
      </w:r>
    </w:p>
    <w:p>
      <w:pPr>
        <w:widowControl w:val="on"/>
        <w:pBdr/>
        <w:spacing w:before="240" w:after="240" w:line="240" w:lineRule="auto"/>
        <w:ind w:left="0" w:right="0"/>
        <w:jc w:val="left"/>
      </w:pPr>
      <w:r>
        <w:rPr>
          <w:color w:val="000000"/>
          <w:sz w:val="24"/>
          <w:szCs w:val="24"/>
        </w:rPr>
        <w:t xml:space="preserve">A dolgozat tárgyalása az elméleti háttér megfelelő adaptációját tartalmazza, a korábban meghatározott pszichológiai elvek elemzésével, ismertetésével, korábbi elvekből levonható következtetések példákkal történő alátámasztásával. Itt főként a társadalomra, és külön az egyénre meghatározott állításokat gyűjtve össze. Az elméleti háttér alapján kialakult vélemény, és az ebből felállított hipotézis főként az emberi jellem, a tárgyak formai, tartalmi tulajdonságaiból következő hatásmechanizmus által meghatározott individuális esztétikai ítéleteinek változatosságával foglalkozna, mint vajon a tárgyakra adott esztétikai reakciók függenek-e társadalmi tapasztalatoktól, szocializációtól. Hogyan magyarázható, hogy egyes formákra, színekre, arányokra pozitív érzet alakul ki bennünk, míg másokra negatív? Ezen kérdések megválaszolására kérdőíves kutatással felmért válaszokból Csíkszentmihályi Mihály és Eugene Rochberg Halton által felállított, már ismert kategóriákba való sorolását alkalmazva kaphatunk átfogóbb képet a vizsgált kérdésekben.</w:t>
      </w:r>
    </w:p>
    <w:p>
      <w:pPr>
        <w:widowControl w:val="on"/>
        <w:pBdr/>
        <w:spacing w:before="240" w:after="240" w:line="240" w:lineRule="auto"/>
        <w:ind w:left="0" w:right="0"/>
        <w:jc w:val="left"/>
      </w:pPr>
      <w:r>
        <w:rPr>
          <w:color w:val="000000"/>
          <w:sz w:val="24"/>
          <w:szCs w:val="24"/>
        </w:rPr>
        <w:t xml:space="preserve">Ezt követően a kutatással elért eredmények kiértékelése, ebből levonható következtetések és a következtetésekből egyéb javaslatok megfogalmazása következik.Végül egy összefoglaló részben a tapasztaltak párhuzamba állítása az eddigi elméletekkel.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63049">
    <w:multiLevelType w:val="hybridMultilevel"/>
    <w:lvl w:ilvl="0" w:tplc="50247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63049">
    <w:abstractNumId w:val="18263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590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