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EVA FERENCZ</w:t>
            </w:r>
          </w:p>
          <w:p w:rsidR="00C275A3" w:rsidRDefault="00A96AEC" w:rsidP="00C275A3">
            <w:pPr>
              <w:pStyle w:val="Hallgatokepzes"/>
            </w:pPr>
            <w:r>
              <w:t>Philologie française</w:t>
            </w:r>
            <w:r>
              <w:br/>
            </w:r>
            <w:r w:rsidR="00E77B23">
              <w:t>MA, 4. semester</w:t>
            </w:r>
          </w:p>
          <w:p w:rsidR="00C265CE" w:rsidRPr="009E5FF1" w:rsidRDefault="00E77B23" w:rsidP="009763E0">
            <w:pPr>
              <w:pStyle w:val="Hallgatointezmeny-kar"/>
              <w:rPr>
                <w:b/>
                <w:caps/>
              </w:rPr>
            </w:pPr>
            <w:r>
              <w:t>Université de Szeged</w:t>
            </w:r>
            <w:r w:rsidR="00C275A3">
              <w:br/>
            </w:r>
            <w:r w:rsidR="00DB4822">
              <w:t>Faculté de lettres et langues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Olga Penke</w:t>
            </w:r>
          </w:p>
          <w:p w:rsidR="00DB4822" w:rsidRDefault="00DB4822" w:rsidP="009763E0">
            <w:pPr>
              <w:pStyle w:val="Konzulensektitulus"/>
            </w:pPr>
            <w:r w:rsidRPr="00DB4822">
              <w:t>professeur,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D'un théâtre classique à un style unique: Marivaux entre 1720-1725</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Mon étude traite le début de la carrière théâtrale de Marivaux et les pièces de théâtre destinées à la Comédie-Italienne. J’ai choisi cinq pièces pour étudier le style de Marivaux : Arlequin poli par l’amour (1720), La Surprise de l’amour (1722), La Double Inconstance (1723), Le Prince travesti et La Fausse Suivante ou le Fourbe puni (1724). Mon objectif est de démontrer en quoi le style de Marivaux peut être défini comme unique et comment il arrive à remporter un tel succès dans son époque.</w:t>
      </w:r>
      <w:r>
        <w:rPr>
          <w:color w:val="000000"/>
          <w:sz w:val="24"/>
          <w:szCs w:val="24"/>
        </w:rPr>
        <w:br/>
        <w:t xml:space="preserve">Dans la première partie, je me fixe l’action, le temps et le lieu comme sujet pour mieux voir l’intrigue et la façon dont Marivaux organise ses pièces. Je démontre que comme l’auteur évoulue, le traitement du temps et du lieu se limite à quelques mentions générales dans les pièces sans la rendre incompréhensible.</w:t>
      </w:r>
      <w:r>
        <w:rPr>
          <w:color w:val="000000"/>
          <w:sz w:val="24"/>
          <w:szCs w:val="24"/>
        </w:rPr>
        <w:br/>
        <w:t xml:space="preserve">La deuxième partie traite les acteurs italiens et les personnages typiques dans ce théâtre. J’étudie également la présence scénique des pièces choisies ce qui me permet de déduire des conclusions dramaturgiques, comme par exemple que Marivaux accorde plus d’accent sur les duos et sur les dialogues en général que sur les monologues.</w:t>
      </w:r>
      <w:r>
        <w:rPr>
          <w:color w:val="000000"/>
          <w:sz w:val="24"/>
          <w:szCs w:val="24"/>
        </w:rPr>
        <w:br/>
        <w:t xml:space="preserve">Dans la dernière partie, pour démontrer le style unique de l’auteur et la progression de son succès, je compare ces cinq pièces avec Le Jeu de l’amour et du hasard de trois points de vue : le travestissement, l’aveu des amoureux et le langage non-verbal.</w:t>
      </w:r>
      <w:r>
        <w:rPr>
          <w:color w:val="000000"/>
          <w:sz w:val="24"/>
          <w:szCs w:val="24"/>
        </w:rPr>
        <w:br/>
        <w:t xml:space="preserve">Je constate que le travestissement est accompagné par le changement du statut social ou par le changement du sexe du personnage. Le travestissement permet aux personnages d’observer les autres dans une situation de distance mais avec leur propres yeux et qui protège leurs sentiments, leur identité et qui ne les laisse pas se livrer jusqu’à ce qu’ils ne sont pas certains d’eux-mêmes.</w:t>
      </w:r>
      <w:r>
        <w:rPr>
          <w:color w:val="000000"/>
          <w:sz w:val="24"/>
          <w:szCs w:val="24"/>
        </w:rPr>
        <w:br/>
        <w:t xml:space="preserve">Pour faire un aveu, Marivaux utilise souvent un procédé unique pour donner un rythme particulier à son récit et pour faire avancer le dialogue. La reprise peut se baser sur la répétition d’un mot ou une partie de la phrase, elle peut être instantanée où être reprise dans une autre scène de la pièce.</w:t>
      </w:r>
      <w:r>
        <w:rPr>
          <w:color w:val="000000"/>
          <w:sz w:val="24"/>
          <w:szCs w:val="24"/>
        </w:rPr>
        <w:br/>
        <w:t xml:space="preserve">Le langage non-verbal a une place aussi important chez Marivaux que le langage verbal. Par le ton, les gestes, les regards ou le silence du personnages, le dialogue peut être renforcé ou affaibli. Marivaux utilise la didascalie pour exprimer ce langage mais il insère aussi bien dans la parole des personnages les gestes, le ton ou même le silence.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370424">
    <w:multiLevelType w:val="hybridMultilevel"/>
    <w:lvl w:ilvl="0" w:tplc="229075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370424">
    <w:abstractNumId w:val="243704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2993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