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PETER LIPKOVICS</w:t>
            </w:r>
          </w:p>
          <w:p w:rsidR="00C275A3" w:rsidRDefault="00A96AEC" w:rsidP="00C275A3">
            <w:pPr>
              <w:pStyle w:val="Hallgatokepzes"/>
            </w:pPr>
            <w:r>
              <w:t>sculpture</w:t>
            </w:r>
            <w:r>
              <w:br/>
            </w:r>
            <w:r w:rsidR="00E77B23">
              <w:t>BA, 6. semester</w:t>
            </w:r>
          </w:p>
          <w:p w:rsidR="00C265CE" w:rsidRPr="009E5FF1" w:rsidRDefault="00E77B23" w:rsidP="00C275A3">
            <w:pPr>
              <w:pStyle w:val="Hallgatokepzes"/>
              <w:rPr>
                <w:b/>
                <w:caps/>
              </w:rPr>
            </w:pPr>
            <w:r>
              <w:t>Eszterházy Károly College</w:t>
            </w:r>
            <w:r w:rsidR="00C275A3">
              <w:br/>
            </w:r>
            <w:r w:rsidR="00DB4822">
              <w:t>Faculty of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István Erős</w:t>
            </w:r>
          </w:p>
          <w:p w:rsidR="00DB4822" w:rsidRDefault="00DB4822" w:rsidP="00E11062">
            <w:pPr>
              <w:pStyle w:val="Konzulensek"/>
            </w:pPr>
            <w:r w:rsidRPr="00DB4822">
              <w:t>associate professor, EKF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David and Goliath</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Title: David and Goliath</w:t>
      </w:r>
    </w:p>
    <w:p>
      <w:pPr>
        <w:widowControl w:val="on"/>
        <w:pBdr/>
        <w:spacing w:before="240" w:after="240" w:line="240" w:lineRule="auto"/>
        <w:ind w:left="0" w:right="0"/>
        <w:jc w:val="left"/>
      </w:pPr>
      <w:r>
        <w:rPr>
          <w:color w:val="000000"/>
          <w:sz w:val="24"/>
          <w:szCs w:val="24"/>
        </w:rPr>
        <w:t xml:space="preserve">Genre: Sculpture installation</w:t>
      </w:r>
    </w:p>
    <w:p>
      <w:pPr>
        <w:widowControl w:val="on"/>
        <w:pBdr/>
        <w:spacing w:before="240" w:after="240" w:line="240" w:lineRule="auto"/>
        <w:ind w:left="0" w:right="0"/>
        <w:jc w:val="left"/>
      </w:pPr>
      <w:r>
        <w:rPr>
          <w:color w:val="000000"/>
          <w:sz w:val="24"/>
          <w:szCs w:val="24"/>
        </w:rPr>
        <w:t xml:space="preserve">Technic: Wood and adobe</w:t>
      </w:r>
    </w:p>
    <w:p>
      <w:pPr>
        <w:widowControl w:val="on"/>
        <w:pBdr/>
        <w:spacing w:before="240" w:after="240" w:line="240" w:lineRule="auto"/>
        <w:ind w:left="0" w:right="0"/>
        <w:jc w:val="left"/>
      </w:pPr>
      <w:r>
        <w:rPr>
          <w:color w:val="000000"/>
          <w:sz w:val="24"/>
          <w:szCs w:val="24"/>
        </w:rPr>
        <w:t xml:space="preserve">Size: 295x195x195cm</w:t>
      </w:r>
    </w:p>
    <w:p>
      <w:pPr>
        <w:widowControl w:val="on"/>
        <w:pBdr/>
        <w:spacing w:before="240" w:after="240" w:line="240" w:lineRule="auto"/>
        <w:ind w:left="0" w:right="0"/>
        <w:jc w:val="left"/>
      </w:pPr>
      <w:r>
        <w:rPr>
          <w:color w:val="000000"/>
          <w:sz w:val="24"/>
          <w:szCs w:val="24"/>
        </w:rPr>
        <w:t xml:space="preserve">Made: 2014</w:t>
      </w:r>
    </w:p>
    <w:p>
      <w:pPr>
        <w:widowControl w:val="on"/>
        <w:pBdr/>
        <w:spacing w:before="240" w:after="240" w:line="240" w:lineRule="auto"/>
        <w:ind w:left="0" w:right="0"/>
        <w:jc w:val="left"/>
      </w:pPr>
      <w:r>
        <w:rPr>
          <w:color w:val="000000"/>
          <w:sz w:val="24"/>
          <w:szCs w:val="24"/>
        </w:rPr>
        <w:t xml:space="preserve">I have employed the use of plasticity in a number of different materials because the interaction of each materials used can affect the content of the conceptual sematic symbols of meaning. This transformation can take place without any concrete representations. It is also important to me the transformation and representation of form and how it’s used and targeted and how these opportunities arisen are invoked. Some examples of these interests are folk objects and tools making techniques including how they emerged, how they function and how they are used. I focus on creating functional symbols of content that contains a type of fencing or conflict between patterns and their inner substances. I respectively pay special attention to how their tension speaks to their concealed surfaces.</w:t>
      </w:r>
    </w:p>
    <w:p>
      <w:pPr>
        <w:widowControl w:val="on"/>
        <w:pBdr/>
        <w:spacing w:before="240" w:after="240" w:line="240" w:lineRule="auto"/>
        <w:ind w:left="0" w:right="0"/>
        <w:jc w:val="left"/>
      </w:pPr>
      <w:r>
        <w:rPr>
          <w:color w:val="000000"/>
          <w:sz w:val="24"/>
          <w:szCs w:val="24"/>
        </w:rPr>
        <w:t xml:space="preserve">Goliath: the wooden structure squeezes the formless loam into submission, transforming it into the low quality industrial standard craftsmanship found in peasant baroque workmanship. The use of formless loam as construction material symbolizes the unconscious and irrational whilst the wooden structure itself is knowledge, rational thinking, and civilization. The installation is constructed in a form that is foldable and size adjustable for the sake of mobility and portability.</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5272060">
    <w:multiLevelType w:val="hybridMultilevel"/>
    <w:lvl w:ilvl="0" w:tplc="54534830">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5272060">
    <w:abstractNumId w:val="2527206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35291466"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