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NAGY</w:t>
            </w:r>
          </w:p>
          <w:p w:rsidR="00C275A3" w:rsidRDefault="00A96AEC" w:rsidP="00C275A3">
            <w:pPr>
              <w:pStyle w:val="Hallgatokepzes"/>
            </w:pPr>
            <w:r>
              <w:t>International studies </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Varga</w:t>
            </w:r>
          </w:p>
          <w:p w:rsidR="00DB4822" w:rsidRDefault="00DB4822" w:rsidP="00E11062">
            <w:pPr>
              <w:pStyle w:val="Konzulensek"/>
            </w:pPr>
            <w:r w:rsidRPr="00DB4822">
              <w:t>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chances of exparding NATO in the post-Soviet region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Cold War, two hostile military units were formed NATO and the Warsaw Pact and these appeared together with the two leading superpowers, the United States and the Soviet Union.</w:t>
      </w:r>
    </w:p>
    <w:p>
      <w:pPr>
        <w:widowControl w:val="on"/>
        <w:pBdr/>
        <w:spacing w:before="240" w:after="240" w:line="240" w:lineRule="auto"/>
        <w:ind w:left="0" w:right="0"/>
        <w:jc w:val="left"/>
      </w:pPr>
      <w:r>
        <w:rPr>
          <w:color w:val="000000"/>
          <w:sz w:val="24"/>
          <w:szCs w:val="24"/>
        </w:rPr>
        <w:t xml:space="preserve">There was a turnaround in the world order in 1991 since the Warsaw Pact and the Soviet Union ceased, with this, the development of a new world political system began. Due to the changes, NATO has been forced to rethink its activities. Subsequently, it tried to create a good relationship with all the post-Soviet member states, as it was important to open up towards the Eurasian region. The Soviet successor states had different foreign policy ambitions; however NATO managed to get in touch with all of them. The successor of the former Soviet Union, Russian has also undergone a change, since from its superpower position it became a power with the second largest inventory of nuclear weapons.</w:t>
      </w:r>
    </w:p>
    <w:p>
      <w:pPr>
        <w:widowControl w:val="on"/>
        <w:pBdr/>
        <w:spacing w:before="240" w:after="240" w:line="240" w:lineRule="auto"/>
        <w:ind w:left="0" w:right="0"/>
        <w:jc w:val="left"/>
      </w:pPr>
      <w:r>
        <w:rPr>
          <w:color w:val="000000"/>
          <w:sz w:val="24"/>
          <w:szCs w:val="24"/>
        </w:rPr>
        <w:t xml:space="preserve">In the new situation, new threats have emerged for the treatment of which the significant participants of world politics had to choose cooperation instead of confrontation. Sometimes they have to solve local or regional crises, affecting the security of the entire region, sometimes open military conflicts, or the more and more widespread transnational threats as soon as possible in the best possible way.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1104">
    <w:multiLevelType w:val="hybridMultilevel"/>
    <w:lvl w:ilvl="0" w:tplc="76241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1104">
    <w:abstractNumId w:val="83471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617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