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VANCSIK</w:t>
            </w:r>
          </w:p>
          <w:p w:rsidR="00C275A3" w:rsidRDefault="00A96AEC" w:rsidP="00C275A3">
            <w:pPr>
              <w:pStyle w:val="Hallgatokepzes"/>
            </w:pPr>
            <w:r>
              <w:t>Cultural Heritage Studies</w:t>
            </w:r>
            <w:r>
              <w:br/>
            </w:r>
            <w:r w:rsidR="00E77B23">
              <w:t>MA, 6.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Emese Sarkadi Nagy, PhD</w:t>
            </w:r>
          </w:p>
          <w:p w:rsidR="00DB4822" w:rsidRDefault="00DB4822" w:rsidP="00E11062">
            <w:pPr>
              <w:pStyle w:val="Konzulensek"/>
            </w:pPr>
            <w:r w:rsidRPr="00DB4822">
              <w:t>art historian, reseracher, senior lecturer,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Conventional and unconventional methods in Italian museum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is based on my museum education observations in the museum systems that were carried out in two significant universities, the University of Bologna and the University of Padova. It is especially focused on their preferred verbal and interactive methods as well as the analyzation of equipments and written materials.</w:t>
      </w:r>
    </w:p>
    <w:p>
      <w:pPr>
        <w:widowControl w:val="on"/>
        <w:pBdr/>
        <w:spacing w:before="240" w:after="240" w:line="240" w:lineRule="auto"/>
        <w:ind w:left="0" w:right="0"/>
        <w:jc w:val="left"/>
      </w:pPr>
      <w:r>
        <w:rPr>
          <w:color w:val="000000"/>
          <w:sz w:val="24"/>
          <w:szCs w:val="24"/>
        </w:rPr>
        <w:t xml:space="preserve">Mostly I was curious about how they use and to what extent the collections of hundreds of years that specifically serve educational purposes during their activities. I was studying their ways of handling the lackings and whether the concept of the exhibition helped the success of the activities. Also I tried to examine the results of using traditional methods and their attitude towards the more modern and innovative museum educational activities.</w:t>
      </w:r>
    </w:p>
    <w:p>
      <w:pPr>
        <w:widowControl w:val="on"/>
        <w:pBdr/>
        <w:spacing w:before="240" w:after="240" w:line="240" w:lineRule="auto"/>
        <w:ind w:left="0" w:right="0"/>
        <w:jc w:val="left"/>
      </w:pPr>
      <w:r>
        <w:rPr>
          <w:color w:val="000000"/>
          <w:sz w:val="24"/>
          <w:szCs w:val="24"/>
        </w:rPr>
        <w:t xml:space="preserve">The basic goal of my research in Italy was “the good practice”, to find a way how to adopt creative ideas and processes into the Hungarian institutions. Therefore in my research I presented some case studies about outstanding museum education activities and how those could be used specifically in Hungary. The most significant ideas and the conclusions will be orally presented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19874">
    <w:multiLevelType w:val="hybridMultilevel"/>
    <w:lvl w:ilvl="0" w:tplc="20814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19874">
    <w:abstractNumId w:val="973198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51246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