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KRÁMOS</w:t>
            </w:r>
          </w:p>
          <w:p w:rsidR="00C275A3" w:rsidRDefault="00A96AEC" w:rsidP="00C275A3">
            <w:pPr>
              <w:pStyle w:val="Hallgatokepzes"/>
            </w:pPr>
            <w:r>
              <w:t>Geography</w:t>
            </w:r>
            <w:r>
              <w:br/>
            </w:r>
            <w:r w:rsidR="00E77B23">
              <w:t>MSc, 14. semester</w:t>
            </w:r>
          </w:p>
          <w:p w:rsidR="00C265CE" w:rsidRPr="009E5FF1" w:rsidRDefault="00E77B23" w:rsidP="009763E0">
            <w:pPr>
              <w:pStyle w:val="Hallgatointezmeny-kar"/>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Csaba Patkós PhD</w:t>
            </w:r>
          </w:p>
          <w:p w:rsidR="00DB4822" w:rsidRDefault="00DB4822" w:rsidP="009763E0">
            <w:pPr>
              <w:pStyle w:val="Konzulensektitulus"/>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and utilization of renewable energy in rural communities development to the example of regional formation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most important task of my research was to present the process of developing energy regions of the Western Europe in Hungary. In regional researches we always have to face the problem of defining the concept, size, institution and the function of the region accurately, due to the fact, that region definitions are widespread and often mentioned. In my research I evaluate KÁT report data published by Hungarian Energy and Public Utility Regulatory Authority, thus I assign the settlements constituting energy region theoretically in Hungary. The results could demonstrate those micro-regional and regional level initiations and the energy cities, which started their institutionalization process before the national formal codification of energy region definition. The review found studies that are typically in the Western Hungarian region of the settlements, but can be found in Central Hungary, Northern Hungary and the Northern Great Plain region in significant numbers.</w:t>
      </w:r>
      <w:r>
        <w:rPr>
          <w:color w:val="000000"/>
          <w:sz w:val="24"/>
          <w:szCs w:val="24"/>
        </w:rPr>
        <w:br/>
        <w:t xml:space="preserve">The overall conclusion is that the Hungarian system has also begun the formation of a regional energy without having to build the institutional tasks and resources have been provided. Due to the fact that in Germany the whole system of institutions has been set up to support and develop the energy regions, it could be important setting up institutions without at least a minimum separation of funds for the period 2014-2020 for Hungary.</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Acknowledgements</w:t>
      </w:r>
      <w:r>
        <w:rPr>
          <w:color w:val="000000"/>
          <w:sz w:val="24"/>
          <w:szCs w:val="24"/>
        </w:rPr>
        <w:br/>
        <w:t xml:space="preserve">This research was supported by the European Union and the State of Hungary, co-financed by the European Social Fund in the framework of TÁMOP 4.2.4. A/2-11-1-2012-0001 ‘National Excellence Program’.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43323">
    <w:multiLevelType w:val="hybridMultilevel"/>
    <w:lvl w:ilvl="0" w:tplc="50789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43323">
    <w:abstractNumId w:val="511433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4735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