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SZENDREY ORSOLYA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Miklós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Matematika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Rendszerkockázat mérés és szétosztás játékelméleti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játékelmélet, rendszerkockázat, szétosztás, ingatlan biztosíték, likviditás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2007-ben kirobbant gazdasági és pénzügyi válság során világossá vált, hogy a pénzintézetekre vonatkozó aktuális szabályozás nem képes egy sokkoknak ellenálló rendszer felépítésére. A bázeli szabályozás által meghatározott kockázati súlyokon alapuló tőkekövetelményi előírás nem elégséges a pénzügyi rendszer stabilitásának megteremtéséhez és fenntartásához.</w:t>
      </w:r>
      <w:r>
        <w:rPr>
          <w:color w:val="000000"/>
          <w:sz w:val="24"/>
          <w:szCs w:val="24"/>
        </w:rPr>
        <w:br/>
        <w:t xml:space="preserve">Az aktuális Bázel III szabályozással összhangban, a dolgozatban egy bankrendszer likviditási problémáit és az egész rendszer kockázatát vizsgáljuk egy játékelméleti modell segítségével. A modellt úgy építjük fel, hogy a bankrendszer szereplőit tekintjük a játékosoknak, akiknek a rendszerkockázatuk abból ered, hogy kedvezőtlen gazdasági környezetben, valamely sokk következtében ugyanazon eseményekre kell reagálniuk, aminek során hasonló magatartást tanúsítanak, ugyanakkor nem törődnek csak az egyéni viselkedésükkel, a rendszer egészét figyelmen kívül hagyják. A vizsgálatban a bankok ingatlannal fedezett lakossági jelzálog portfóliójára fókuszálunk. A rendszer együttmozgásából adód kockázatot az ingatlanpiacon figyeljük meg, amikor valamilyen kedvezőtlen esemény hatására a bankrendszer szereplőinek egyszerre kell értékesíteni az ingatlan biztosítékaikat. Különböző forgatókönyvek mentén vizsgáljuk, hogy az együttes értékesítés hatására az ingatlanpiacon milyen mértékű árváltozása következik be és ezáltal hogyan változik a bankok egyéni és együttes tőkekövetelménye. A játékelméleti modell segítségével a rendszer együttes, pótlólagos tőkekövetelményét osztjuk szét a bankrendszer szereplői között.</w:t>
      </w:r>
      <w:r>
        <w:rPr>
          <w:color w:val="000000"/>
          <w:sz w:val="24"/>
          <w:szCs w:val="24"/>
        </w:rPr>
        <w:br/>
        <w:t xml:space="preserve">A dolgozat célja nem az, hogy egy bankrendszer pontos számadatait közölje, hanem az, hogy felhívja a figyelmet a bankok együttmozgásából adódó kockázatára és a kockázatallokáció jelentőségére. A felépített játékelméleti modell ugyanakkor kiindulópontként is szolgál a szabályozó és a kockázatkezelők számára, hogy a bemutatott intuíciót a kockázatkezelési gyakorlatba is átültethessék és hatékonyan alkalmazhassák.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79984">
    <w:multiLevelType w:val="hybridMultilevel"/>
    <w:lvl w:ilvl="0" w:tplc="21136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79984">
    <w:abstractNumId w:val="91379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6225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