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LUDVIG DÓRA</w:t>
            </w:r>
          </w:p>
          <w:p w:rsidR="00C275A3" w:rsidRDefault="00A96AEC" w:rsidP="00C275A3">
            <w:pPr>
              <w:pStyle w:val="Hallgatokepzes"/>
            </w:pPr>
            <w:r>
              <w:t>Biztosítási és pénzügyi matematika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Csóka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Befektetések és Vállalati Pénzügy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Származtatott termékek árazása koherens kockázati mértékkel nem teljes piacok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eszközárazás; diszkrét; kockázati mérték; lineáris programozás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eszközárazás alaptételei alapján tudjuk, hogy egy piac pontosan akkor arbitrázsmentes, ha létezik olyan mérték, amire nézve az alaptermék diszkontált árfolyamata martingál, illetve pontosan akkor teljes, ha ez a martingálmérték egyértelmű. Nem teljes piacok esetén a derivatívák lehetséges árára egy intervallum a megoldás.</w:t>
      </w:r>
      <w:r>
        <w:rPr>
          <w:color w:val="000000"/>
          <w:sz w:val="24"/>
          <w:szCs w:val="24"/>
        </w:rPr>
        <w:br/>
        <w:t xml:space="preserve">Egy piac nem teljességén azt értjük, hogy a gazdaságból eredő bizonytalanságok nem fedezhetők a pénzügyi eszközökkel való kereskedéssel. A 2008-as gazdasági válság után különösen hangsúlyos szerepet kapott a kockázatalapú árazás, ugyanis a válság egyik kiváltó okának a kockázatok nem megfelelő felmérését tartják.</w:t>
      </w:r>
      <w:r>
        <w:rPr>
          <w:color w:val="000000"/>
          <w:sz w:val="24"/>
          <w:szCs w:val="24"/>
        </w:rPr>
        <w:br/>
        <w:t xml:space="preserve">Az általános arbitrázs definícióját használva kérdés, hogy mi legyen az elfogadási tartomány, amibe a jövőbeli kifizetés értéke eshet, hogy ne legyen arbitrázsra lehetőség. Ezt a kockázati mérték negatív tulajdonságával lehet összefüggésbe hozni, ekkor ugyanis pozitív nagyságú kockázati prémium vonható ki a portfólióból. Eladói és vevői oldalról megközelítve a portfóliót a feladat egy olyan önfinanszírozó fedezeti stratégia megtalálása, amivel a kezdeti költségek értéke 0, lejáratkori várható értéke nemnegatív és ami fedezi a származtatott termékből fakadó kockázatokat.</w:t>
      </w:r>
      <w:r>
        <w:rPr>
          <w:color w:val="000000"/>
          <w:sz w:val="24"/>
          <w:szCs w:val="24"/>
        </w:rPr>
        <w:br/>
        <w:t xml:space="preserve">Először egy egyszerűbb feladatot mutattam be: adott 3 kereskedett eszköz és 1 származtatott termék következő periódusbeli 4 lehetséges állapota, így a számolás 3 döntési változót és 7 feltételt tartalmazott. A dolgozat elméleti hátterét megalapozó Gotoh, Yamamoto, Yao (2010) cikkben bemutatott példa célfüggvénye tévesen le lett osztva a lejáratkori állapotok számával, így az eredmény negyedére csökkent a tényleges árhoz képest. Dolgozatomban a helyes megoldás bemutatásra került.</w:t>
      </w:r>
      <w:r>
        <w:rPr>
          <w:color w:val="000000"/>
          <w:sz w:val="24"/>
          <w:szCs w:val="24"/>
        </w:rPr>
        <w:br/>
        <w:t xml:space="preserve">Másik modellnek egy tíz felé ágazó fát vizsgáltam, amit a Nikkei 225 japán index 4 részvényének 10 historikus hozama alapján generáltam egy ázsiai típusú put opció fedezésére. Az LP feladatnak 999 döntési változója és 2555 feltétele lett, melyet R-ben programoztam le.</w:t>
      </w:r>
      <w:r>
        <w:rPr>
          <w:color w:val="000000"/>
          <w:sz w:val="24"/>
          <w:szCs w:val="24"/>
        </w:rPr>
        <w:br/>
        <w:t xml:space="preserve">Dolgozatom további részében még két esetet vizsgáltam: a Google és a Magyar Telekom 2014 márciusában lejáró amerikai típusú call opcióit. Az eszközök historikus heti hozamaival számolva az eredmények a valóságnak megfeleltek, a piacon megfigyelt opcióárak többnyire a számolt korlátok között voltak.</w:t>
      </w:r>
      <w:r>
        <w:rPr>
          <w:color w:val="000000"/>
          <w:sz w:val="24"/>
          <w:szCs w:val="24"/>
        </w:rPr>
        <w:br/>
        <w:t xml:space="preserve">A modell fejlesztésére még több lehetőség van: a használt CVaR kockázati mértékben a paraméter egyéni preferenciától függő megválasztása, másik kockázati mérték használata, a hozamok különböző megválasztása vagy hosszabb időtáv.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021579">
    <w:multiLevelType w:val="hybridMultilevel"/>
    <w:lvl w:ilvl="0" w:tplc="15165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021579">
    <w:abstractNumId w:val="370215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0227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