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KIS</w:t>
            </w:r>
          </w:p>
          <w:p w:rsidR="00C275A3" w:rsidRDefault="00A96AEC" w:rsidP="00C275A3">
            <w:pPr>
              <w:pStyle w:val="Hallgatokepzes"/>
            </w:pPr>
            <w:r>
              <w:t>Management and leadership</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NÓRA REGÖS</w:t>
            </w:r>
          </w:p>
          <w:p w:rsidR="00DB4822" w:rsidRDefault="00C275A3" w:rsidP="004D7940">
            <w:pPr>
              <w:pStyle w:val="Hallgatokepzes"/>
            </w:pPr>
            <w:r>
              <w:t>Sociology</w:t>
            </w:r>
            <w:r w:rsidR="00A96AEC">
              <w:br/>
              <w:t>MSc, 2.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Noémi Hevér</w:t>
            </w:r>
          </w:p>
          <w:p w:rsidR="00DB4822" w:rsidRDefault="00DB4822" w:rsidP="00E11062">
            <w:pPr>
              <w:pStyle w:val="Konzulensek"/>
            </w:pPr>
            <w:r w:rsidRPr="00DB4822">
              <w:t>PhD student,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 blind bid just an eye-wash? - Examination of the preferred reference price range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t xml:space="preserve"/>
      </w:r>
    </w:p>
    <w:p>
      <w:pPr>
        <w:widowControl w:val="on"/>
        <w:pBdr/>
        <w:spacing w:before="240" w:after="240" w:line="240" w:lineRule="auto"/>
        <w:ind w:left="0" w:right="0"/>
        <w:jc w:val="left"/>
      </w:pPr>
      <w:r>
        <w:rPr>
          <w:color w:val="000000"/>
          <w:sz w:val="24"/>
          <w:szCs w:val="24"/>
        </w:rPr>
        <w:t xml:space="preserve">The paper aims to examine the preferred reference price range system and the functioning of the blind bid in Hungary. The initial hypothesis is that as a result of the system, major price drop occurs in the drug markets, however, the re-route of the turnover is not realized to the direction of the reference products. An additional hypothesis is that the system brings significant changes to the competition of brands in the drug markets. During the presentation of the theoretical background, the paper is concerned with the situation of the Hungarian healthcare spending and the regulatory decisions affecting the pharmaceutical industry. n addition, the analysis includes the examination of the pharmaceutical cost containment policies in the EU, the internal reference pricing and the Hungarian use of it will be presented in more detail, and the newly introduced preferred reference price range system as well. In the second part of the a paper public drug database (PUPHA) is used to examine the effects expected from the theory through markets of two substance (pantoprazole, anastrozole). Hypothesis concerning the price reduction completely, and hypotheses about the re-route of the turnover and brand competition in part be confirmed. The paper could be a basis for other, overall analysis of the system's steakholders or examination of other active substance markets.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964154">
    <w:multiLevelType w:val="hybridMultilevel"/>
    <w:lvl w:ilvl="0" w:tplc="20276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964154">
    <w:abstractNumId w:val="459641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975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