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PLANGAR</w:t>
            </w:r>
          </w:p>
          <w:p w:rsidR="00C275A3" w:rsidRDefault="00A96AEC" w:rsidP="00C275A3">
            <w:pPr>
              <w:pStyle w:val="Hallgatokepzes"/>
            </w:pPr>
            <w:r>
              <w:t>Applied Economics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MIKLÓS MILAN VANCSA</w:t>
            </w:r>
          </w:p>
          <w:p w:rsidR="00DB4822" w:rsidRDefault="00C275A3" w:rsidP="004D7940">
            <w:pPr>
              <w:pStyle w:val="Hallgatokepzes"/>
            </w:pPr>
            <w:r>
              <w:t>Economic analysis</w:t>
            </w:r>
            <w:r w:rsidR="00A96AEC">
              <w:br/>
              <w:t>BSc,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Chikan</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Eurozone heading for a doom?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Eurozone, goldstandard</w:t>
      </w:r>
      <w:r>
        <w:t xml:space="preserve"/>
      </w:r>
    </w:p>
    <w:p>
      <w:pPr>
        <w:widowControl w:val="on"/>
        <w:pBdr/>
        <w:spacing w:before="240" w:after="240" w:line="240" w:lineRule="auto"/>
        <w:ind w:left="0" w:right="0"/>
        <w:jc w:val="left"/>
      </w:pPr>
      <w:r>
        <w:rPr>
          <w:color w:val="000000"/>
          <w:sz w:val="24"/>
          <w:szCs w:val="24"/>
        </w:rPr>
        <w:t xml:space="preserve">In our paper we research the differences and the similarities of two financial systems, the Eurozone and the Gold standard. We analyze the two systems in order to test our hypothesis: the Eurozone is a more sustainable system than the Gold standard, in the long run, due to the differences of the two financial systems. We formed our expectations based on the fact that after the 2008 financial crisis the economy of Eurozone members seems to be stabilized, while in the case of the Gold standard after 1929 the system was doomed to failure. In our analysis we collect the differences and the similarities of the two financial system, then we draw our conclusions based on these characteristics. Our results will show that the costs of exit, the openness of economies, the endogenity of the system and the possibilities for further reforms make the Eurozone more sustainable.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59753">
    <w:multiLevelType w:val="hybridMultilevel"/>
    <w:lvl w:ilvl="0" w:tplc="60899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59753">
    <w:abstractNumId w:val="88559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6256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