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ENIKŐ HOFFMANN</w:t>
            </w:r>
          </w:p>
          <w:p w:rsidR="00C275A3" w:rsidRDefault="00A96AEC" w:rsidP="00C275A3">
            <w:pPr>
              <w:pStyle w:val="Hallgatokepzes"/>
            </w:pPr>
            <w:r>
              <w:t>Finance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DÁVID ÁRON SOMOSI</w:t>
            </w:r>
          </w:p>
          <w:p w:rsidR="00DB4822" w:rsidRDefault="00C275A3" w:rsidP="004D7940">
            <w:pPr>
              <w:pStyle w:val="Hallgatokepzes"/>
            </w:pPr>
            <w:r>
              <w:t>Leadership and management</w:t>
            </w:r>
            <w:r w:rsidR="00A96AEC">
              <w:br/>
              <w:t>MSc, 5.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Sándor</w:t>
            </w:r>
          </w:p>
          <w:p w:rsidR="00DB4822" w:rsidRDefault="00DB4822" w:rsidP="00E11062">
            <w:pPr>
              <w:pStyle w:val="Konzulensek"/>
            </w:pPr>
            <w:r w:rsidRPr="00DB4822">
              <w:t>student,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Danish flexicurity system – a solution for everyone?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flexicurity; labor market; social policy; Denmark; European Union</w:t>
      </w:r>
      <w:r>
        <w:t xml:space="preserve"/>
      </w:r>
    </w:p>
    <w:p>
      <w:pPr>
        <w:widowControl w:val="on"/>
        <w:pBdr/>
        <w:spacing w:before="240" w:after="240" w:line="240" w:lineRule="auto"/>
        <w:ind w:left="0" w:right="0"/>
        <w:jc w:val="left"/>
      </w:pPr>
      <w:r>
        <w:rPr>
          <w:color w:val="000000"/>
          <w:sz w:val="24"/>
          <w:szCs w:val="24"/>
        </w:rPr>
        <w:t xml:space="preserve">In this paper, we examined the Danish flexicurity model that is a special mix of both labor market and social policies. We highlighted its key elements and the reasons why it is successful. These include the efficient social safety net, employment protection, and active labor market policy. We analyzed the feasibility of such model in other EU Member States. As a conclusion, there are two fundamental features that are needed and can significantly challenge potential adaption elsewhere: high public spending and supportive culture. Therefore the Danish flexicurity system cannot be implemented as a whole in most of the EU Member States in the upcoming few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49128">
    <w:multiLevelType w:val="hybridMultilevel"/>
    <w:lvl w:ilvl="0" w:tplc="61370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49128">
    <w:abstractNumId w:val="12249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875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