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LIPI BALÁZS</w:t>
            </w:r>
          </w:p>
          <w:p w:rsidR="00C275A3" w:rsidRDefault="00A96AEC" w:rsidP="00C275A3">
            <w:pPr>
              <w:pStyle w:val="Hallgatokepzes"/>
            </w:pPr>
            <w:r>
              <w:t>Számvitel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Kolozs Borbála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segédmunkatárs, BCE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Elektronikus számlázás kérdései az adójogban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adójog; számlázás; ÁFA; elektronikus számlázás;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 napjainkban egyre hangsúlyosabbá váló elektronikus hitelesítés és számlázás kérdését járja körbe az adójog szempontjából. Az utóbbi évtizedekben a különböző bizonylatok, számlák elkészítése, majd hitelesítése is egyre inkább elektronikus formában történik, mely trenddel kapcsolatban a jogalkotó mind hazai, mind nemzetközi szinten új szabályokat hozott. A dolgozat célja e széleskörű téma legjelentősebb részleteinek bemutatása és értékelése, tekintettel a szabályozás megjelenése óta megszerzett tapasztalatokra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642789">
    <w:multiLevelType w:val="hybridMultilevel"/>
    <w:lvl w:ilvl="0" w:tplc="6874527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642789">
    <w:abstractNumId w:val="1164278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5793555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