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BALÁZS LIPI</w:t>
            </w:r>
          </w:p>
          <w:p w:rsidR="00C275A3" w:rsidRDefault="00A96AEC" w:rsidP="00C275A3">
            <w:pPr>
              <w:pStyle w:val="Hallgatokepzes"/>
            </w:pPr>
            <w:r>
              <w:t>Accountancy</w:t>
            </w:r>
            <w:r>
              <w:br/>
            </w:r>
            <w:r w:rsidR="00E77B23">
              <w:t>MSc, 3. semester</w:t>
            </w:r>
          </w:p>
          <w:p w:rsidR="00C265CE" w:rsidRPr="009E5FF1" w:rsidRDefault="00E77B23" w:rsidP="00BA6BAF">
            <w:pPr>
              <w:pStyle w:val="Hallgatointezmeny-kar"/>
              <w:rPr>
                <w:b/>
                <w:caps/>
              </w:rPr>
            </w:pPr>
            <w:r>
              <w:t>Corvinus University of Budapest</w:t>
            </w:r>
            <w:r w:rsidR="00C275A3">
              <w:br/>
            </w:r>
            <w:r w:rsidR="00DB4822">
              <w:t>Faculty of Business Administration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dr. Borbála Kolozs</w:t>
            </w:r>
          </w:p>
          <w:p w:rsidR="00DB4822" w:rsidRDefault="00DB4822" w:rsidP="00BA6BAF">
            <w:pPr>
              <w:pStyle w:val="Konzulensektitulus"/>
            </w:pPr>
            <w:r w:rsidRPr="00DB4822">
              <w:t>junior research fellow, BCE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Questions of e-invoicing in tax law</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tax law; invoicing; VAT; e-invoicing;</w:t>
      </w:r>
      <w:r>
        <w:t xml:space="preserve"/>
      </w:r>
    </w:p>
    <w:p>
      <w:pPr>
        <w:widowControl w:val="on"/>
        <w:pBdr/>
        <w:spacing w:before="240" w:after="240" w:line="240" w:lineRule="auto"/>
        <w:ind w:left="0" w:right="0"/>
        <w:jc w:val="left"/>
      </w:pPr>
      <w:r>
        <w:rPr>
          <w:color w:val="000000"/>
          <w:sz w:val="24"/>
          <w:szCs w:val="24"/>
        </w:rPr>
        <w:t xml:space="preserve">This paper is to present the contemporary topic of electronic authentication and invoicing from the aspect of tax law. In the last decades, the electronic issuance and authentication of different certificates, invoices are more and more dominant. For this reason, new legislation has entered into force, both on a national but also on the international level. The paper addresses and evaluates the essential details of this wide topic, bearing the experiences acquired since the adoption of the legislation in mind as well.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0586141">
    <w:multiLevelType w:val="hybridMultilevel"/>
    <w:lvl w:ilvl="0" w:tplc="2369666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0586141">
    <w:abstractNumId w:val="3058614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9277626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