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MANYOKI</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Borbala Kolozs dr.</w:t>
            </w:r>
          </w:p>
          <w:p w:rsidR="00DB4822" w:rsidRDefault="00DB4822" w:rsidP="00E11062">
            <w:pPr>
              <w:pStyle w:val="Konzulensek"/>
            </w:pPr>
            <w:r w:rsidRPr="00DB4822">
              <w:t>research assistant,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do we think at the same way? Trends of corporate taxes in the world between 2006 and 2011</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corporate income tax;globalization</w:t>
      </w:r>
      <w:r>
        <w:t xml:space="preserve"/>
      </w:r>
    </w:p>
    <w:p>
      <w:pPr>
        <w:widowControl w:val="on"/>
        <w:pBdr/>
        <w:spacing w:before="240" w:after="240" w:line="240" w:lineRule="auto"/>
        <w:ind w:left="0" w:right="0"/>
        <w:jc w:val="left"/>
      </w:pPr>
      <w:r>
        <w:rPr>
          <w:color w:val="000000"/>
          <w:sz w:val="24"/>
          <w:szCs w:val="24"/>
        </w:rPr>
        <w:t xml:space="preserve">Nowadays we can see the growing competition for capital in companies and in countries as well. Many factor influence which company is more attractive in terms of capital than other. One of the most decisive factors is the corporate income tax rate. I n my dissertation, I examine the changes in the corporate tax trends in the world between 2006 and 2011. I am looking for the answer how changed a corporate tax rates in the world? Is there relationship, correlation between the corporate income tax changes of counries? The other main issue of my research is that these trends were to affect the 2008 outbreak of the global economic crisis. Did the countries tried to ease the burden on companies in this way, thus contributing to the growth of economic activity?</w:t>
      </w:r>
    </w:p>
    <w:p>
      <w:pPr>
        <w:widowControl w:val="on"/>
        <w:pBdr/>
        <w:spacing w:before="240" w:after="240" w:line="240" w:lineRule="auto"/>
        <w:ind w:left="0" w:right="0"/>
        <w:jc w:val="left"/>
      </w:pPr>
      <w:r>
        <w:rPr>
          <w:color w:val="000000"/>
          <w:sz w:val="24"/>
          <w:szCs w:val="24"/>
        </w:rPr>
        <w:br/>
        <w:t xml:space="preserve">I concentrate on Hungary, Germany, Russia, the United States, China and Australia in my research. Based on the findings we can establish that the world's average corporate tax rate decreased steadily between 2006-2011. The reduction of corporate tax rates are not reported clearly that had arisen due to the 2008 crisis. Germany and China has used reduced tax rates from 2008. But Russia introduced the lower rate as the crisis management measure from 2009. It is interesting that downward trend can be observed that with the exception of Asian corporate tax rates had the greatest reductions in the period 2006-2008, but this trend has slowed down. Between 2008 and 2010, in Asia there was largest decrease in the rate of corporation tax .This is explained by the fact that this region long locked away from the world itself, but globalization has reached him.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26327">
    <w:multiLevelType w:val="hybridMultilevel"/>
    <w:lvl w:ilvl="0" w:tplc="55841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26327">
    <w:abstractNumId w:val="14426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524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