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96B" w:rsidRDefault="00C37CFB" w:rsidP="00C37CFB">
      <w:pPr>
        <w:jc w:val="both"/>
        <w:rPr>
          <w:rFonts w:ascii="Times New Roman" w:hAnsi="Times New Roman" w:cs="Times New Roman"/>
          <w:sz w:val="24"/>
        </w:rPr>
      </w:pPr>
      <w:r w:rsidRPr="0001777E">
        <w:rPr>
          <w:rFonts w:ascii="Times New Roman" w:hAnsi="Times New Roman" w:cs="Times New Roman"/>
          <w:sz w:val="24"/>
        </w:rPr>
        <w:t>A magyar kultúrpolitika és kultúrafinanszírozás – hasonlóan a rendszerváltást követő összes politikai ciklust – jelentős változásokon ment keresztül az elmúlt négy évben. Teljesen újszerű elemként jelent meg ebben a rendszer a Magyar Művészeti Akadémia, amely nem csak jelentős állami forrásokat kapott, de az egész rendszer szempontjából fontos szerepet tölthet be. Dolgozatunk célja az intézmény megjelenésének hatásértékelése a hazai kultúrafinanszírozás szemszögéből. Ehhez nem csak a hazai és nemzetközi szakirodalmat, törvényeket, illetve sajtóban megjelenő véleményeket tekintjük át, de a változások által érintett, azokat különböző nézőpontból szemlélő hazai szakemberekkel készített interjúkat is felhasználunk. Munkánk végére elhelyezzük a Magyar Művészeti Akadémiát a Nemzeti Kulturális Alap viszonylatában, s megpróbálunk választ adni a felmerült problémák alapvető okaira. Úgy találjuk, hogy habár sok tekintetben az Akadémia létrehozásának módja felelős számos konfliktusért, a lényegi probléma mégis abban rejlik, hogy hiányzik a terület szereplőiből a kultúrafinanszírozás hazai rendszerének kellő mélységű feltérképezésének és koherenssé tételének az igénye.</w:t>
      </w:r>
    </w:p>
    <w:p w:rsidR="00F739CB" w:rsidRDefault="00F739CB" w:rsidP="00C37CFB">
      <w:pPr>
        <w:jc w:val="both"/>
        <w:rPr>
          <w:rFonts w:ascii="Times New Roman" w:hAnsi="Times New Roman" w:cs="Times New Roman"/>
          <w:sz w:val="24"/>
        </w:rPr>
      </w:pPr>
    </w:p>
    <w:p w:rsidR="00F739CB" w:rsidRPr="00183DB5" w:rsidRDefault="00F739CB" w:rsidP="00F739CB">
      <w:pPr>
        <w:jc w:val="both"/>
        <w:rPr>
          <w:lang w:val="en-GB"/>
        </w:rPr>
      </w:pPr>
      <w:r w:rsidRPr="00183DB5">
        <w:rPr>
          <w:rFonts w:ascii="Times New Roman" w:hAnsi="Times New Roman" w:cs="Times New Roman"/>
          <w:sz w:val="24"/>
          <w:lang w:val="en-GB"/>
        </w:rPr>
        <w:t>The Hunga</w:t>
      </w:r>
      <w:r>
        <w:rPr>
          <w:rFonts w:ascii="Times New Roman" w:hAnsi="Times New Roman" w:cs="Times New Roman"/>
          <w:sz w:val="24"/>
          <w:lang w:val="en-GB"/>
        </w:rPr>
        <w:t>rian cultural policy and cultural</w:t>
      </w:r>
      <w:r w:rsidRPr="00183DB5">
        <w:rPr>
          <w:rFonts w:ascii="Times New Roman" w:hAnsi="Times New Roman" w:cs="Times New Roman"/>
          <w:sz w:val="24"/>
          <w:lang w:val="en-GB"/>
        </w:rPr>
        <w:t xml:space="preserve"> financing </w:t>
      </w:r>
      <w:r>
        <w:rPr>
          <w:rFonts w:ascii="Times New Roman" w:hAnsi="Times New Roman" w:cs="Times New Roman"/>
          <w:sz w:val="24"/>
          <w:lang w:val="en-GB"/>
        </w:rPr>
        <w:t>system – like during all political cycles after the transition – went through some serious changes in the last four years. The Hungarian Academy of Arts appeared not only as a brand new element, that received substantial state financing, but it may also become a crucial part of the new system. The goal of our paper is to evaluate the effects of the appearance of this new institution on the state of the cultural financing system. We not only utilize Hungarian and international literature on the topic, supplemented by the analysis of legislation passed and the survey of media reaction, but also conducted expert interviews. These people from different backgrounds – but all connected to the arts and cultural policy – also have quite different angles on the issue. By the end of our work we position the Hungarian Academy of Arts in relation to the National Cultural Fund, and we try to answer why some serious problems persist in the system of cultural financing in Hungary. We show that although the Academy in itself is a source of many different conflicts, the answers rather lay with the fact that actors in this particular field of policy lack the initiative to relate important policy issues to each other, thus making a coherent approach impossible.</w:t>
      </w:r>
    </w:p>
    <w:p w:rsidR="00F739CB" w:rsidRDefault="00F739CB" w:rsidP="00C37CFB">
      <w:pPr>
        <w:jc w:val="both"/>
      </w:pPr>
    </w:p>
    <w:sectPr w:rsidR="00F739CB" w:rsidSect="003F696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37CFB"/>
    <w:rsid w:val="003F696B"/>
    <w:rsid w:val="00C37CFB"/>
    <w:rsid w:val="00F4158A"/>
    <w:rsid w:val="00F739CB"/>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F696B"/>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412</Words>
  <Characters>2082</Characters>
  <Application>Microsoft Office Word</Application>
  <DocSecurity>0</DocSecurity>
  <Lines>28</Lines>
  <Paragraphs>2</Paragraphs>
  <ScaleCrop>false</ScaleCrop>
  <Company/>
  <LinksUpToDate>false</LinksUpToDate>
  <CharactersWithSpaces>2492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Péter</dc:creator>
  <cp:lastModifiedBy>Péter</cp:lastModifiedBy>
  <cp:revision>2</cp:revision>
  <dcterms:created xsi:type="dcterms:W3CDTF">2014-07-17T21:05:00Z</dcterms:created>
  <dcterms:modified xsi:type="dcterms:W3CDTF">2014-07-17T21:05:00Z</dcterms:modified>
</cp:coreProperties>
</file>