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BOROS</w:t>
            </w:r>
          </w:p>
          <w:p w:rsidR="00C275A3" w:rsidRDefault="00A96AEC" w:rsidP="00C275A3">
            <w:pPr>
              <w:pStyle w:val="Hallgatokepzes"/>
            </w:pPr>
            <w:r>
              <w:t>Marketing</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Zsolt Boda, Phd</w:t>
            </w:r>
          </w:p>
          <w:p w:rsidR="00DB4822" w:rsidRDefault="00DB4822" w:rsidP="00E11062">
            <w:pPr>
              <w:pStyle w:val="Konzulensek"/>
            </w:pPr>
            <w:r w:rsidRPr="00DB4822">
              <w:t>associate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Branding and Ethical Corporation: Contradictory or Related Conceptions?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brand; branding; brand identity; corporate identity; stakeholder view</w:t>
      </w:r>
      <w:r>
        <w:t xml:space="preserve"/>
      </w:r>
    </w:p>
    <w:p>
      <w:pPr>
        <w:widowControl w:val="on"/>
        <w:pBdr/>
        <w:spacing w:before="240" w:after="240" w:line="240" w:lineRule="auto"/>
        <w:ind w:left="0" w:right="0"/>
        <w:jc w:val="left"/>
      </w:pPr>
      <w:r>
        <w:rPr>
          <w:color w:val="000000"/>
          <w:sz w:val="24"/>
          <w:szCs w:val="24"/>
        </w:rPr>
        <w:t xml:space="preserve">The brand is an inseparable and one of the most striking phenomena of the life of modern societies. The brand as a phenomenon goes far beyond the framework of business life: branding and communication serving as its means is a far-reaching project of a product/service, a person, an organization, a movement or an event, moreover, in addition to all these, it is a transmission and popularization of a system of values. The brand always exists in relations between stakeholders, and a brand treated as a deliberately constructed investment can gain great power in these relationships, influencing consumer behaviour, interorganizational relations and in a wider sense social values and actions. Nowadays, one of the keys of business success consists of brands having a coherent and clear identity and an integrated marketing communication underlying it. However, the question arises whether behind the promise of the brand, there is a corporate identity and organization identifying with the chosen values and enforcing them. According to the ”Klein-hypothesis” serving as a starting point of the analysis, the modern business strategies exaggerating the brand result in unethical business operations – at the same time, brand building companies are more vulnerable to ethical criticism, and all this may lead to the improvement of their ethical performance as well. This paper analyzes this assumption from two approaches: on the one hand, it interprets the concept of the brand, namely its impacts, business role and the relationship between the brand and corporate identity; on the other hand, it is also a case study evaluating the example of BP which has recently brought about one of the greatest corporate scandals.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764336">
    <w:multiLevelType w:val="hybridMultilevel"/>
    <w:lvl w:ilvl="0" w:tplc="49089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764336">
    <w:abstractNumId w:val="13764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19083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