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MÁTÉ</w:t>
            </w:r>
          </w:p>
          <w:p w:rsidR="00C275A3" w:rsidRDefault="00A96AEC" w:rsidP="00C275A3">
            <w:pPr>
              <w:pStyle w:val="Hallgatokepzes"/>
            </w:pPr>
            <w:r>
              <w:t>daddssaded</w:t>
            </w:r>
            <w:r>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CSIKY VELIMIR</w:t>
            </w:r>
          </w:p>
          <w:p w:rsidR="00DB4822" w:rsidRDefault="00C275A3" w:rsidP="004D7940">
            <w:pPr>
              <w:pStyle w:val="Hallgatokepzes"/>
            </w:pPr>
            <w:r>
              <w:t>nemzetközi gazdálkodás</w:t>
            </w:r>
            <w:r w:rsidR="00A96AEC">
              <w:br/>
              <w:t>BSc, 6.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GÁTI BALÁZS DÁVID</w:t>
            </w:r>
          </w:p>
          <w:p w:rsidR="00C275A3" w:rsidRDefault="00A96AEC" w:rsidP="00C275A3">
            <w:pPr>
              <w:pStyle w:val="Hallgatokepzes"/>
            </w:pPr>
            <w:r>
              <w:t>nemzuetközi gazdálkodás</w:t>
            </w:r>
            <w:r>
              <w:br/>
            </w:r>
            <w:r w:rsidR="00E77B23">
              <w:t>BSc, 6. félév</w:t>
            </w:r>
          </w:p>
          <w:p w:rsidR="00C265CE" w:rsidRPr="009E5FF1" w:rsidRDefault="00E77B23" w:rsidP="00BA6BAF">
            <w:pPr>
              <w:pStyle w:val="Hallgatointezmeny-kar"/>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Kiss Attila</w:t>
            </w:r>
          </w:p>
          <w:p w:rsidR="00DB4822" w:rsidRDefault="00DB4822" w:rsidP="00BA6BAF">
            <w:pPr>
              <w:pStyle w:val="Konzulensektitulus"/>
            </w:pPr>
            <w:r w:rsidRPr="00DB4822">
              <w:t>PhD hallgató (BCE - Nemzetközi Gazdálkodási Kutatóközpont),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állami hátterű exportfinanszírozás az Eximbank gyakorlatában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Az Eximbank jelentősen hozzájárul az exportvolumen növekedéséhez</w:t>
      </w:r>
      <w:r>
        <w:t xml:space="preserve"/>
      </w:r>
    </w:p>
    <w:p>
      <w:pPr>
        <w:widowControl w:val="on"/>
        <w:pBdr/>
        <w:spacing w:before="240" w:after="240" w:line="240" w:lineRule="auto"/>
        <w:ind w:left="0" w:right="0"/>
        <w:jc w:val="left"/>
      </w:pPr>
      <w:r>
        <w:rPr>
          <w:color w:val="000000"/>
          <w:sz w:val="24"/>
          <w:szCs w:val="24"/>
        </w:rPr>
        <w:t xml:space="preserve">Kutatásunkban bizonyítani szeretnénk, hogy Magyarországon az állami költségvetési hátterű exporthitel ügynökség konstruktívan hozzájárul az exportvolumen növekedéséhez, ehhez saját számításokat végzünk. A kalkulációk során erősen támaszkodunk az export/GDP, a külkereskedelmi mérleg és az exportlefedettségi mutatókra, melyek végeredményeit grafikonokkal és ábrákkal szemléltetjük az átláthatóbb elemzés érdekében. Adatainkat összehasonlítjuk Szlovákia és Csehország exporthitel ügynökségeivel, mivel történelmi hátterük és földrajzi elhelyezkedésük miatt számos téren hasonlóságot mutatnak hazánkkal.közvetve bizonyítható. Konklúziónk szerint a magyar államnak továbbiakban is támogatni kell az Eximbank tevékenységét, és ösztönöznie a kis- és középvállalkozásokat abban, hogy külföldi piacokra lépjenek. Ennek az elképzelésnek néhány jelét már megfigyelhetjük jelenleg is, a külkereskedelmi stratégiában kihangsúlyozott keleti nyitás politikája a KKV szektort ösztönzi a keleti piacok felé történő nyitásra, amellyel elsősorban az exportunkban fennálló koncentráltságot kívánjuk csökkenteni. Összességében kijelenthetjük, hogy a magyar Eximbank hozzájárul a magyar gazdaság exportnövekedéséhez és a jövőben célszerű ez irányú tevékenységét növelnie, ezáltal is elősegítenie az ország makrogazdasági értékeinek javítását.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48240">
    <w:multiLevelType w:val="hybridMultilevel"/>
    <w:lvl w:ilvl="0" w:tplc="86285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48240">
    <w:abstractNumId w:val="95148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5453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