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EREDICS BOGLÁRKA</w:t>
            </w:r>
          </w:p>
          <w:p w:rsidR="00C275A3" w:rsidRDefault="00A96AEC" w:rsidP="00C275A3">
            <w:pPr>
              <w:pStyle w:val="Hallgatokepzes"/>
            </w:pPr>
            <w:r>
              <w:t>Nemzetközi gazdálkodás angol nyelven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Sebestyén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Befektetések és Vállalati Pénzügy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 vagy pénz? Optimális jövedéki adó dánytermékeken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jövedéki adó; dohánytermékek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dohányzás témaköre manapság is rendszeres és gyakori téma világszerte. A dohányipar különösképp komplex, hisz rengeteg külső tényező hatással van működésére. Kutatásaim szerint rendkívül meghatározó a dohányipar függősége a kormányzati szabályozásoktól és az adó szabályoktól.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Ezért, a dolgozat a dohánytermékek adóztatására, legfőként a jövedéki adóra koncentrál. Mivel az Európai Unióban kötelező a vegyes jövedéki adó használata, a dolgozat a dohánytermékek optimális jövedéki adó struktúráját hivatott kutatni.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rövid bemutatása után feltárom a jövedéki adó különböző fajtájinak előnyeit, hátrányait és bemutatom a három típusát: ad valorem, specifikus, vegyes jövedéki adó.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metodológia részben egy átfogó PESTLIED analízissel mutatom be az iparágat, a legfőbb befolyásoló tényezőit, különös tekintettel a jogi környezetre.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a dolgozat feltárja a nemzetközi és hazai, azaz a Magyar adózási szabályokat és helyzetet, primer és szekunder kutatások révén. Ezáltal körvonalazódik számunkra egy optimális jövedéki adó struktúra, melyet az országoknak érdemes lenne alkalmazniuk.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 helyettesítési mechanizmus jelenségét, amely a cigaretták illetve a RYO/MYO termékek között van jelen, és amely magyarázatot ad arra, hogy a csempészet miért nagyobb probléma az EU-ban, mint a fogyasztási turizmus.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Számításokat végeztem arról, hogy Magyarországon hogy épül fel az ára egy doboz cigarettának, mi a különbség a tiszta ad valorem, tiszta specifikus és vegyes jövedéki adónak egy doboz cigaretta árára kivetítve. Továbbá megállapítottam az ér és adókülönbséget a vágott és készcigaretta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a következtetésre jutottam, hogy a specifikus jövedéki adó alkalmazása sokkal előnyösebb, mint az ad valorem jövedéki adóé, ezért a specifikus jövedéki adót kellene nagyobb arányban alkalmazni a dohánytermékeken.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41398">
    <w:multiLevelType w:val="hybridMultilevel"/>
    <w:lvl w:ilvl="0" w:tplc="26638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41398">
    <w:abstractNumId w:val="372413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515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