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ORSOLYA BUGYI</w:t>
            </w:r>
          </w:p>
          <w:p w:rsidR="00C275A3" w:rsidRDefault="00A96AEC" w:rsidP="00C275A3">
            <w:pPr>
              <w:pStyle w:val="Hallgatokepzes"/>
            </w:pPr>
            <w:r>
              <w:t>International business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>Faculty of Business Administration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Ádám Mészáros</w:t>
            </w:r>
          </w:p>
          <w:p w:rsidR="00DB4822" w:rsidRDefault="00DB4822" w:rsidP="00E11062">
            <w:pPr>
              <w:pStyle w:val="Konzulensek"/>
            </w:pPr>
            <w:r w:rsidRPr="00DB4822">
              <w:t>professor's assistant,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Up the mainstream – Motivations behind the severity of FDI regulations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foreign direct investment, crisis, liberalization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Since the beginning of 1970s foreign direct investment regulation framework was made looser and looser to enhance capital flow, which ended up in a highly liberalized regulation system by the 2000s. In the second half of 2000s an opposite trend was drawn: in time of the crisis 30 per cent of the regulation changes were restrictive. In this paper I intend to identify the possible motivations of this attitude change. I hypothesize that restriction is not the result of crisis but the reform of the former, unsustainable regulation system. To prove my assumptions I examine the change in macroeconomic indicators and in a regulation-related index.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510323">
    <w:multiLevelType w:val="hybridMultilevel"/>
    <w:lvl w:ilvl="0" w:tplc="191012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510323">
    <w:abstractNumId w:val="625103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85406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