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BUDAI PÉTER</w:t>
            </w:r>
          </w:p>
          <w:p w:rsidR="00C275A3" w:rsidRDefault="00A96AEC" w:rsidP="00C275A3">
            <w:pPr>
              <w:pStyle w:val="Hallgatokepzes"/>
            </w:pPr>
            <w:r>
              <w:t>nemzetközi tanulmányok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Hoffmann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 (BCE - Nemzetközi Tanulmányok Intézet), BCE 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Ignis fatuus? – A székelyek autonómiája a nemzetközi jog szemszögéből, kitérve a Badinter-bizottság állásfoglalására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a székely autonómia, amelyet a nemzetközi jog szemszögéből vizsgáltam meg. A témaválasztás oka annak aktualitása volt, valamint az a trend, hogy a kérdést az utóbbi időben inkább összehasonlító alkotmányjogi és nem nemzetközi jogi szemszögből vizsgálják, amellyel nem értek egyet. A vizsgálat során azt a kérdést tettem fel, hogy mennyire valósítható meg a székely autonómia a nemzetközi jog szabályai alapján. Én nem tartom megvalósíthatatlannak nemzetközi jogi nézőpontjából, mint ahogy azt a székely autonómia koncepciójának ellenzői állítják.</w:t>
      </w:r>
      <w:r>
        <w:rPr>
          <w:color w:val="000000"/>
          <w:sz w:val="24"/>
          <w:szCs w:val="24"/>
        </w:rPr>
        <w:br/>
        <w:t xml:space="preserve">A dolgozatomban elsőként a székely autonómia történetét vázolom fel, kiemelve a Magyar Autonóm Tartomány precedensét, a rendszerváltás utáni főbb koncepciókat, valamint a 2013-2014 időszakában erőre kapó mozgalmat. Ezt követően térek át a nemzetközi jogi vizsgálatra a dolgozatban. Ennek során elsőként a népek önrendelkezési jogát, majd az autonómia fogalmát ismertetem, amelyeket össze is kapcsolok, kiemelve a nemzetközi jogi vonatkozásokat. Ezek után elemzem azt, hogy a székelyeknek, amennyiben etnikumként, kisebbségként, illetve őslakos népként értelmezzük őket, joga van-e az autonómiához. Arra a megállapításra jutok, hogy nem illeti meg őket egyik értelmezési keretben sem az autonómia.</w:t>
      </w:r>
      <w:r>
        <w:rPr>
          <w:color w:val="000000"/>
          <w:sz w:val="24"/>
          <w:szCs w:val="24"/>
        </w:rPr>
        <w:br/>
        <w:t xml:space="preserve">Ezt követően térek ki a dolgozatom elemző részére. A Badinter-bizottság a jugoszláv háborúkban levő jogi problémákkal összefüggésben, egyik állásfoglalásában a népek önrendelkezési jogát nem egyszerűen csoportjogként, hanem egyént megillető emberi jogként értelmezi. Ezt a jogértelmezést számos kritika érte, ugyanakkor megállapítható, hogy a két 1966-os egyezségokmány szövegkörnyezete alapján valóban emberi jogként értelmezhető az önrendelkezés. Ez azonban még nem indokolná meg az állásfoglalás tartalmának létjogosultságát, éppen ezért közelítem meg a problémát fejlődéstörténeti szempontból. Peter Hilpold a népek önrendelkezési joga kapcsán több ízben feltételez egy emberi jogi hatást. Nem elfelejtendő az sem, hogy a nemzetközi jog XX. századi fejlődésében három főbb fordulópontot azonosítanak: az I. világháborút, a II. világháborút és a rendszerváltást, amelyből az utolsó a nemzetközi jogban egy erőteljesebb emberi jogi irányváltást eredményez, így az önrendelkezés esetén is. Ezzel arra mutatok rá, hogy az állásfoglalás nem egy vakvágány a nemzetközi jogban, sokkal inkább egy folyamat része, amely a népek önrendelkezési jogán keresztül hatással van az autonómia kérdésére, és így a székely autonómia ügyére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120976">
    <w:multiLevelType w:val="hybridMultilevel"/>
    <w:lvl w:ilvl="0" w:tplc="481204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120976">
    <w:abstractNumId w:val="3312097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62469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