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BUDAI</w:t>
            </w:r>
          </w:p>
          <w:p w:rsidR="00C275A3" w:rsidRDefault="00A96AEC" w:rsidP="00C275A3">
            <w:pPr>
              <w:pStyle w:val="Hallgatokepzes"/>
            </w:pPr>
            <w:r>
              <w:t>International Relations</w:t>
            </w:r>
            <w:r>
              <w:br/>
            </w:r>
            <w:r w:rsidR="00E77B23">
              <w:t>MSc, 2. semester</w:t>
            </w:r>
          </w:p>
          <w:p w:rsidR="00C265CE" w:rsidRPr="009E5FF1" w:rsidRDefault="00E77B23" w:rsidP="00C275A3">
            <w:pPr>
              <w:pStyle w:val="Hallgatokepzes"/>
              <w:rPr>
                <w:b/>
                <w:caps/>
              </w:rPr>
            </w:pPr>
            <w:r>
              <w:t>Corvinus University of Budapest</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Hoffmann</w:t>
            </w:r>
          </w:p>
          <w:p w:rsidR="00DB4822" w:rsidRDefault="00DB4822" w:rsidP="00E11062">
            <w:pPr>
              <w:pStyle w:val="Konzulensek"/>
            </w:pPr>
            <w:r w:rsidRPr="00DB4822">
              <w:t>assisstant professor,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Ignis fatuus? - The Székely autonomy from an international legal viewpoint examining the opinion of the Badinter Committee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essay I examined the Székely autonomy from an international legal viewpoint. I chose the topic because it is still relevant nowadays and because that this concept has been recently examined by comparative constitutional law, which I strongly disagree with. My question is how the Székely autonomy can be achievable according to international law. I am opposed to those who are against the concept and I argue that it is possible in the field of international law.</w:t>
      </w:r>
      <w:r>
        <w:rPr>
          <w:color w:val="000000"/>
          <w:sz w:val="24"/>
          <w:szCs w:val="24"/>
        </w:rPr>
        <w:br/>
        <w:t xml:space="preserve">First, I describe the history of the Székely autonomy emphasizing the precedent of the Magyar Autonomous Region, the concepts after the end of communism and the autonomous movement between 2013 and 2014. After that I do the international legal investigation. First, I describe the right to self-determination and the autonomy, and then I connect them to each other highlighting the international legal key issues. In the next chapter I examine the Székely people as subjects like ethnic people, minority and indigenous people and their right to autonomy. I conclude that neither of these makes them entitled to autonomy.</w:t>
      </w:r>
      <w:r>
        <w:rPr>
          <w:color w:val="000000"/>
          <w:sz w:val="24"/>
          <w:szCs w:val="24"/>
        </w:rPr>
        <w:br/>
        <w:t xml:space="preserve">After that I examine the Székely autonomy comparing to the opinion of the Badinter Committee. In this opinion the Committee identified the right of self-determination as an individual human right and not as a group right. This opinion was criticized intensely, but it is also true that the right of self-determination can be seen as a human right examining the context of the two Covenants of 1966. It would not justify the opinion; therefore I examine the issue from the historical development of international law. Péter Hilpold presumes a human right wave in the field of self-determination. It is also important that three turning points were identified in the development of international law in the 20th century: World War I, World War II and the end of communism; and the last one resulted in a human rights wave in international law and of course for the right of self-determination. With this argument I highlight that this opinion is not a “mirage” in international law, rather a part of a process, which has an effect for the concept of autonomy, and also for the Székely autonomy through the right of self-determination.</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059257">
    <w:multiLevelType w:val="hybridMultilevel"/>
    <w:lvl w:ilvl="0" w:tplc="290814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059257">
    <w:abstractNumId w:val="630592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45516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